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Tampa Bay Times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Roy LeBlanc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490 First Avenue South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St. Petersburg, FL 33701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Dear Roy,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Going to IU, if there’s one thing I’ve learned it’s this: the Tampa Bay Times respects narrative journalism. I may be a page designer, but I’ve relished every opportunity I’ve had to work with narrative journalism while at IU and I think that my skillset in sensitive and composed features and news design could be an asset to your team.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I’ve had a full-time internship every summer of my college career. Twice I worked at my hometown paper, the Buffalo News. During my first summer in Buffalo, I focused on production and designed mostly for business and news sections of the paper. In my second summer, I moved to more features design, working primarily on the paper’s Viewpoints section, a weekly opinion feature section published on Sundays.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After my junior year at Indiana, I packed up and moved to Minneapolis for the summer to work at the Star Tribune. At the Star Tribune, I worked in the features department four out of five days a week designing covers and inside sections and frequently working on illustrations or conceptual art.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When I graduate in May,  I hope to enter an environment where I’m valued and challenged daily and where I feel the readers are the priority. I’m a big believer in journalism as a form of public service and the commitment of papers like the Tampa Bay Times to serving their readership is what all journalists should strive for.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 think as the way we consume news changes, visual journalists are more important than ever and I want to work in a newsroom that understands this as yours clearly does. I’m passionate about news, about design and about telling good stories. It would be an honor to tell them with you.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Thank you for the opportunity to apply for this internship and for considering my application.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the best,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Anna Hyzy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