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4600A888"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w:t>
      </w:r>
      <w:r w:rsidR="00B63302">
        <w:rPr>
          <w:sz w:val="18"/>
          <w:szCs w:val="18"/>
        </w:rPr>
        <w:t xml:space="preserve">to </w:t>
      </w:r>
      <w:r w:rsidRPr="002C4C6B">
        <w:rPr>
          <w:sz w:val="18"/>
          <w:szCs w:val="18"/>
        </w:rPr>
        <w:t xml:space="preserve">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4FD59099"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596056C"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B10870" w:rsidRPr="002C4C6B">
        <w:rPr>
          <w:sz w:val="18"/>
          <w:szCs w:val="18"/>
        </w:rPr>
        <w:t>and</w:t>
      </w:r>
      <w:r w:rsidR="00114DBE">
        <w:rPr>
          <w:sz w:val="18"/>
          <w:szCs w:val="18"/>
        </w:rPr>
        <w:t xml:space="preserve"> also</w:t>
      </w:r>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4C3F4B63"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w:t>
      </w:r>
      <w:r w:rsidR="00FB216A">
        <w:rPr>
          <w:sz w:val="18"/>
          <w:szCs w:val="18"/>
        </w:rPr>
        <w:t xml:space="preserve"> an accuracy rating of</w:t>
      </w:r>
      <w:r w:rsidR="008F3946" w:rsidRPr="002C4C6B">
        <w:rPr>
          <w:sz w:val="18"/>
          <w:szCs w:val="18"/>
        </w:rPr>
        <w:t xml:space="preserve">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r w:rsidR="00A82F07">
        <w:rPr>
          <w:sz w:val="18"/>
          <w:szCs w:val="18"/>
        </w:rPr>
        <w:t>In the context of this study, since the combination of the JAFFE dataset and the CK+ dataset</w:t>
      </w:r>
      <w:r w:rsidR="009B3DD5">
        <w:rPr>
          <w:sz w:val="18"/>
          <w:szCs w:val="18"/>
        </w:rPr>
        <w:t xml:space="preserve"> (See Datasets</w:t>
      </w:r>
      <w:r w:rsidR="00D97DBB">
        <w:rPr>
          <w:sz w:val="18"/>
          <w:szCs w:val="18"/>
        </w:rPr>
        <w:t xml:space="preserve"> section</w:t>
      </w:r>
      <w:r w:rsidR="009B3DD5">
        <w:rPr>
          <w:sz w:val="18"/>
          <w:szCs w:val="18"/>
        </w:rPr>
        <w:t>)</w:t>
      </w:r>
      <w:r w:rsidR="00A82F07">
        <w:rPr>
          <w:sz w:val="18"/>
          <w:szCs w:val="18"/>
        </w:rPr>
        <w:t xml:space="preserve"> will lead to a large amount of training data, the indication is that RF will be preferable.</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lastRenderedPageBreak/>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2B05FCB5" w:rsidR="0013358D" w:rsidRPr="002C4C6B" w:rsidRDefault="00A371E3" w:rsidP="000A570D">
      <w:pPr>
        <w:rPr>
          <w:sz w:val="18"/>
          <w:szCs w:val="18"/>
        </w:rPr>
      </w:pPr>
      <w:r w:rsidRPr="002C4C6B">
        <w:rPr>
          <w:sz w:val="18"/>
          <w:szCs w:val="18"/>
        </w:rPr>
        <w:t>Images will be input from the dataset. Each of these images are grayscale since HOG expect</w:t>
      </w:r>
      <w:r w:rsidR="003E15FB">
        <w:rPr>
          <w:sz w:val="18"/>
          <w:szCs w:val="18"/>
        </w:rPr>
        <w:t>s</w:t>
      </w:r>
      <w:r w:rsidRPr="002C4C6B">
        <w:rPr>
          <w:sz w:val="18"/>
          <w:szCs w:val="18"/>
        </w:rPr>
        <w:t xml:space="preserve">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235933A3" w:rsidR="001A7E4C" w:rsidRPr="00A877A3" w:rsidRDefault="00D843B7" w:rsidP="000A570D">
      <w:pPr>
        <w:rPr>
          <w:b/>
          <w:bCs/>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w:t>
      </w:r>
      <w:r w:rsidR="00413265" w:rsidRPr="00E60197">
        <w:rPr>
          <w:sz w:val="18"/>
          <w:szCs w:val="18"/>
        </w:rPr>
        <w:t xml:space="preserve"> </w:t>
      </w:r>
      <w:r w:rsidR="00E60197" w:rsidRPr="00E60197">
        <w:rPr>
          <w:sz w:val="18"/>
          <w:szCs w:val="18"/>
        </w:rPr>
        <w:t>(Mittal, 2020)</w:t>
      </w:r>
      <w:r w:rsidR="00E60197">
        <w:rPr>
          <w:sz w:val="18"/>
          <w:szCs w:val="18"/>
        </w:rPr>
        <w:t>.</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5CA9B4A1" w:rsidR="00271E2D" w:rsidRPr="002C4C6B" w:rsidRDefault="00210F44" w:rsidP="00C72D9C">
      <w:pPr>
        <w:rPr>
          <w:b/>
          <w:bCs/>
          <w:sz w:val="18"/>
          <w:szCs w:val="18"/>
        </w:rPr>
      </w:pPr>
      <w:r w:rsidRPr="002C4C6B">
        <w:rPr>
          <w:sz w:val="18"/>
          <w:szCs w:val="18"/>
        </w:rPr>
        <w:t xml:space="preserve">The model </w:t>
      </w:r>
      <w:r w:rsidR="008E7760">
        <w:rPr>
          <w:sz w:val="18"/>
          <w:szCs w:val="18"/>
        </w:rPr>
        <w:t>was trained and tested using</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6AD74654" w:rsidR="0073412F" w:rsidRPr="002C4C6B" w:rsidRDefault="0073412F" w:rsidP="00D17052">
      <w:pPr>
        <w:pStyle w:val="ListParagraph"/>
        <w:numPr>
          <w:ilvl w:val="0"/>
          <w:numId w:val="2"/>
        </w:numPr>
        <w:rPr>
          <w:sz w:val="18"/>
          <w:szCs w:val="18"/>
        </w:rPr>
      </w:pPr>
      <w:r w:rsidRPr="002C4C6B">
        <w:rPr>
          <w:sz w:val="18"/>
          <w:szCs w:val="18"/>
        </w:rPr>
        <w:t xml:space="preserve">Seaborn to generate </w:t>
      </w:r>
      <w:r w:rsidR="0099530C">
        <w:rPr>
          <w:sz w:val="18"/>
          <w:szCs w:val="18"/>
        </w:rPr>
        <w:t>a</w:t>
      </w:r>
      <w:r w:rsidRPr="002C4C6B">
        <w:rPr>
          <w:sz w:val="18"/>
          <w:szCs w:val="18"/>
        </w:rPr>
        <w:t xml:space="preserve"> Confusion Matrix. </w:t>
      </w:r>
    </w:p>
    <w:p w14:paraId="1604BBE4" w14:textId="57244D9E" w:rsidR="00B95F4C" w:rsidRPr="002C4C6B" w:rsidRDefault="002A2315" w:rsidP="00D1045A">
      <w:pPr>
        <w:rPr>
          <w:sz w:val="18"/>
          <w:szCs w:val="18"/>
        </w:rPr>
      </w:pPr>
      <w:r w:rsidRPr="002C4C6B">
        <w:rPr>
          <w:sz w:val="18"/>
          <w:szCs w:val="18"/>
        </w:rPr>
        <w:t xml:space="preserve">The model was trained on </w:t>
      </w:r>
      <w:r w:rsidR="00C670B6" w:rsidRPr="002C4C6B">
        <w:rPr>
          <w:sz w:val="18"/>
          <w:szCs w:val="18"/>
        </w:rPr>
        <w:t>six</w:t>
      </w:r>
      <w:r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0CA0B490" w:rsidR="00C474B4" w:rsidRPr="002C4C6B" w:rsidRDefault="001B1A37" w:rsidP="00C474B4">
      <w:pPr>
        <w:rPr>
          <w:sz w:val="18"/>
          <w:szCs w:val="18"/>
        </w:rPr>
      </w:pPr>
      <w:r>
        <w:rPr>
          <w:sz w:val="18"/>
          <w:szCs w:val="18"/>
        </w:rPr>
        <w:t>The first round of</w:t>
      </w:r>
      <w:r w:rsidR="00C474B4" w:rsidRPr="002C4C6B">
        <w:rPr>
          <w:sz w:val="18"/>
          <w:szCs w:val="18"/>
        </w:rPr>
        <w:t xml:space="preserve"> training was carried out using a combination of the JAFFE dataset and the CK+ dataset. </w:t>
      </w:r>
    </w:p>
    <w:p w14:paraId="0EB7FAA2" w14:textId="51B94B5C"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1F607A13"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 xml:space="preserve">measures the number of times the model incorrectly predicted an </w:t>
      </w:r>
      <w:r w:rsidR="00C670B6" w:rsidRPr="002C4C6B">
        <w:rPr>
          <w:sz w:val="18"/>
          <w:szCs w:val="18"/>
        </w:rPr>
        <w:t>emotion when</w:t>
      </w:r>
      <w:r w:rsidR="00D51948" w:rsidRPr="002C4C6B">
        <w:rPr>
          <w:sz w:val="18"/>
          <w:szCs w:val="18"/>
        </w:rPr>
        <w:t xml:space="preserve">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289FC6F8" w14:textId="77777777" w:rsidR="00824D46" w:rsidRDefault="00F95998" w:rsidP="00824D46">
      <w:pPr>
        <w:rPr>
          <w:sz w:val="18"/>
          <w:szCs w:val="18"/>
        </w:rPr>
      </w:pPr>
      <w:r w:rsidRPr="002C4C6B">
        <w:rPr>
          <w:sz w:val="18"/>
          <w:szCs w:val="18"/>
        </w:rPr>
        <w:t xml:space="preserve">Once the figures for the above values were obtained, several metrics could be </w:t>
      </w:r>
      <w:r w:rsidR="00370F62">
        <w:rPr>
          <w:sz w:val="18"/>
          <w:szCs w:val="18"/>
        </w:rPr>
        <w:t>collected to describe</w:t>
      </w:r>
      <w:r w:rsidRPr="002C4C6B">
        <w:rPr>
          <w:sz w:val="18"/>
          <w:szCs w:val="18"/>
        </w:rPr>
        <w:t xml:space="preserve"> the model’s performanc</w:t>
      </w:r>
      <w:r w:rsidR="00824D46">
        <w:rPr>
          <w:sz w:val="18"/>
          <w:szCs w:val="18"/>
        </w:rPr>
        <w:t>e.</w:t>
      </w:r>
    </w:p>
    <w:p w14:paraId="7810ED12" w14:textId="6DDEBCC3" w:rsidR="00F95998" w:rsidRPr="00824D46" w:rsidRDefault="00F95998" w:rsidP="00824D46">
      <w:pPr>
        <w:pStyle w:val="ListParagraph"/>
        <w:numPr>
          <w:ilvl w:val="0"/>
          <w:numId w:val="2"/>
        </w:numPr>
        <w:rPr>
          <w:b/>
          <w:bCs/>
          <w:sz w:val="18"/>
          <w:szCs w:val="18"/>
        </w:rPr>
      </w:pPr>
      <w:r w:rsidRPr="00824D46">
        <w:rPr>
          <w:b/>
          <w:bCs/>
          <w:sz w:val="18"/>
          <w:szCs w:val="18"/>
        </w:rPr>
        <w:t xml:space="preserve">Accuracy </w:t>
      </w:r>
      <w:r w:rsidR="00953262" w:rsidRPr="00824D46">
        <w:rPr>
          <w:sz w:val="18"/>
          <w:szCs w:val="18"/>
        </w:rPr>
        <w:t xml:space="preserve">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39BA7525"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w:t>
      </w:r>
      <w:r w:rsidR="0000547A">
        <w:rPr>
          <w:sz w:val="18"/>
          <w:szCs w:val="18"/>
        </w:rPr>
        <w:t xml:space="preserve"> (</w:t>
      </w:r>
      <w:r w:rsidR="009B310A" w:rsidRPr="002C4C6B">
        <w:rPr>
          <w:sz w:val="18"/>
          <w:szCs w:val="18"/>
        </w:rPr>
        <w:t>true positives + false negatives</w:t>
      </w:r>
      <w:r w:rsidR="0000547A">
        <w:rPr>
          <w:sz w:val="18"/>
          <w:szCs w:val="18"/>
        </w:rPr>
        <w:t>)</w:t>
      </w:r>
      <w:r w:rsidR="009B310A" w:rsidRPr="002C4C6B">
        <w:rPr>
          <w:sz w:val="18"/>
          <w:szCs w:val="18"/>
        </w:rPr>
        <w:t xml:space="preserve">.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5D535A0E" w:rsidR="00F95998" w:rsidRPr="008361B5"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 between precision and recall</w:t>
      </w:r>
      <w:r w:rsidR="00B813FE">
        <w:rPr>
          <w:sz w:val="18"/>
          <w:szCs w:val="18"/>
        </w:rPr>
        <w:t xml:space="preserve">. This </w:t>
      </w:r>
      <w:r w:rsidR="00B76D77" w:rsidRPr="002C4C6B">
        <w:rPr>
          <w:sz w:val="18"/>
          <w:szCs w:val="18"/>
        </w:rPr>
        <w:t>is considered a strong metric to measure the overall performance of the classification model.</w:t>
      </w:r>
    </w:p>
    <w:p w14:paraId="1098484C" w14:textId="3F339DEB" w:rsidR="008361B5" w:rsidRPr="008361B5" w:rsidRDefault="00554D80" w:rsidP="008361B5">
      <w:pPr>
        <w:rPr>
          <w:b/>
          <w:bCs/>
          <w:sz w:val="18"/>
          <w:szCs w:val="18"/>
        </w:rPr>
      </w:pPr>
      <w:r>
        <w:rPr>
          <w:sz w:val="18"/>
          <w:szCs w:val="18"/>
        </w:rPr>
        <w:t>(</w:t>
      </w:r>
      <w:r w:rsidR="00056BDE" w:rsidRPr="004C01C9">
        <w:rPr>
          <w:sz w:val="18"/>
          <w:szCs w:val="18"/>
        </w:rPr>
        <w:t>GeeksForGeeks</w:t>
      </w:r>
      <w:r>
        <w:rPr>
          <w:sz w:val="18"/>
          <w:szCs w:val="18"/>
        </w:rPr>
        <w:t xml:space="preserve">, </w:t>
      </w:r>
      <w:r w:rsidR="00056BDE" w:rsidRPr="004C01C9">
        <w:rPr>
          <w:sz w:val="18"/>
          <w:szCs w:val="18"/>
        </w:rPr>
        <w:t>2018</w:t>
      </w:r>
      <w:r>
        <w:rPr>
          <w:sz w:val="18"/>
          <w:szCs w:val="18"/>
        </w:rPr>
        <w:t>)</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Pr="002C4C6B"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3C82B75C"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D6506D" w:rsidRPr="002C4C6B">
        <w:rPr>
          <w:sz w:val="18"/>
          <w:szCs w:val="18"/>
        </w:rPr>
        <w:t xml:space="preserve"> respectively. </w:t>
      </w:r>
      <w:r w:rsidR="0053649A">
        <w:rPr>
          <w:sz w:val="18"/>
          <w:szCs w:val="18"/>
        </w:rPr>
        <w:t xml:space="preserve">Happiness and </w:t>
      </w:r>
      <w:r w:rsidR="009A4505">
        <w:rPr>
          <w:sz w:val="18"/>
          <w:szCs w:val="18"/>
        </w:rPr>
        <w:t>s</w:t>
      </w:r>
      <w:r w:rsidR="0053649A">
        <w:rPr>
          <w:sz w:val="18"/>
          <w:szCs w:val="18"/>
        </w:rPr>
        <w:t xml:space="preserve">urprise </w:t>
      </w:r>
      <w:r w:rsidR="00D6506D" w:rsidRPr="002C4C6B">
        <w:rPr>
          <w:sz w:val="18"/>
          <w:szCs w:val="18"/>
        </w:rPr>
        <w:t xml:space="preserve">also boasted the two highest </w:t>
      </w:r>
      <w:r w:rsidR="00C670B6" w:rsidRPr="002C4C6B">
        <w:rPr>
          <w:sz w:val="18"/>
          <w:szCs w:val="18"/>
        </w:rPr>
        <w:t>precisions</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lastRenderedPageBreak/>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A8F9E05"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w:t>
      </w:r>
      <w:r w:rsidR="00B95D83">
        <w:rPr>
          <w:sz w:val="18"/>
          <w:szCs w:val="18"/>
        </w:rPr>
        <w:t>this model</w:t>
      </w:r>
      <w:r w:rsidR="0085367D" w:rsidRPr="002C4C6B">
        <w:rPr>
          <w:sz w:val="18"/>
          <w:szCs w:val="18"/>
        </w:rPr>
        <w:t xml:space="preserve"> </w:t>
      </w:r>
      <w:r w:rsidR="009604E4" w:rsidRPr="002C4C6B">
        <w:rPr>
          <w:sz w:val="18"/>
          <w:szCs w:val="18"/>
        </w:rPr>
        <w:t xml:space="preserve">since Random Forest consists of a set of decision trees, and decision trees are </w:t>
      </w:r>
      <w:r w:rsidR="00634670">
        <w:rPr>
          <w:sz w:val="18"/>
          <w:szCs w:val="18"/>
        </w:rPr>
        <w:t>relatively</w:t>
      </w:r>
      <w:r w:rsidR="009604E4" w:rsidRPr="002C4C6B">
        <w:rPr>
          <w:sz w:val="18"/>
          <w:szCs w:val="18"/>
        </w:rPr>
        <w:t xml:space="preserve">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more advanced methods of extracting facial features than HOG</w:t>
      </w:r>
      <w:r w:rsidR="00D72E60">
        <w:rPr>
          <w:sz w:val="18"/>
          <w:szCs w:val="18"/>
        </w:rPr>
        <w:t>, such as Convolutional Neural Networks (CNNs).</w:t>
      </w:r>
      <w:r w:rsidR="00C10A0C">
        <w:rPr>
          <w:sz w:val="18"/>
          <w:szCs w:val="18"/>
        </w:rPr>
        <w:t xml:space="preserve"> These use a series of layers, each of which detects </w:t>
      </w:r>
      <w:r w:rsidR="00391BE3">
        <w:rPr>
          <w:sz w:val="18"/>
          <w:szCs w:val="18"/>
        </w:rPr>
        <w:t>various</w:t>
      </w:r>
      <w:r w:rsidR="00C10A0C">
        <w:rPr>
          <w:sz w:val="18"/>
          <w:szCs w:val="18"/>
        </w:rPr>
        <w:t xml:space="preserve"> features of an input image. </w:t>
      </w:r>
      <w:r w:rsidR="009B2CF0">
        <w:rPr>
          <w:sz w:val="18"/>
          <w:szCs w:val="18"/>
        </w:rPr>
        <w:t>Each layer builds on the output of the previous layer to recognize very detailed patterns</w:t>
      </w:r>
      <w:r w:rsidR="00E21F61">
        <w:rPr>
          <w:sz w:val="18"/>
          <w:szCs w:val="18"/>
        </w:rPr>
        <w:t xml:space="preserve"> </w:t>
      </w:r>
      <w:r w:rsidR="00B336B8" w:rsidRPr="00055340">
        <w:rPr>
          <w:sz w:val="18"/>
          <w:szCs w:val="18"/>
        </w:rPr>
        <w:t>(Awati, 2022)</w:t>
      </w:r>
      <w:r w:rsidR="007116DC">
        <w:rPr>
          <w:sz w:val="18"/>
          <w:szCs w:val="18"/>
        </w:rPr>
        <w:t xml:space="preserve">. </w:t>
      </w:r>
      <w:r w:rsidR="00E21F61">
        <w:rPr>
          <w:sz w:val="18"/>
          <w:szCs w:val="18"/>
        </w:rPr>
        <w:t>Sinc</w:t>
      </w:r>
      <w:r w:rsidR="00A32300" w:rsidRPr="002C4C6B">
        <w:rPr>
          <w:sz w:val="18"/>
          <w:szCs w:val="18"/>
        </w:rPr>
        <w:t>e</w:t>
      </w:r>
      <w:r w:rsidR="00E21F61">
        <w:rPr>
          <w:sz w:val="18"/>
          <w:szCs w:val="18"/>
        </w:rPr>
        <w:t xml:space="preserve"> HOG and RF are </w:t>
      </w:r>
      <w:r w:rsidR="005E3FE6">
        <w:rPr>
          <w:sz w:val="18"/>
          <w:szCs w:val="18"/>
        </w:rPr>
        <w:t>simpler</w:t>
      </w:r>
      <w:r w:rsidR="00A32300" w:rsidRPr="002C4C6B">
        <w:rPr>
          <w:sz w:val="18"/>
          <w:szCs w:val="18"/>
        </w:rPr>
        <w:t>,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w:t>
      </w:r>
      <w:r w:rsidR="00212C06">
        <w:rPr>
          <w:sz w:val="18"/>
          <w:szCs w:val="18"/>
        </w:rPr>
        <w:t>especially</w:t>
      </w:r>
      <w:r w:rsidRPr="002C4C6B">
        <w:rPr>
          <w:sz w:val="18"/>
          <w:szCs w:val="18"/>
        </w:rPr>
        <w:t xml:space="preserve">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76DEB86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2C7D13A2"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05BBA95A" w:rsidR="00D91AC4" w:rsidRPr="00C22FE9" w:rsidRDefault="00D91AC4" w:rsidP="00C72D9C">
      <w:pPr>
        <w:rPr>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w:t>
      </w:r>
      <w:r w:rsidR="00C670B6">
        <w:rPr>
          <w:sz w:val="18"/>
          <w:szCs w:val="18"/>
        </w:rPr>
        <w:t>s’</w:t>
      </w:r>
      <w:r w:rsidR="00D36177" w:rsidRPr="002C4C6B">
        <w:rPr>
          <w:sz w:val="18"/>
          <w:szCs w:val="18"/>
        </w:rPr>
        <w:t xml:space="preserve"> accuracy. The recall score improved however the precision score decreased</w:t>
      </w:r>
      <w:r w:rsidR="005D1AE6" w:rsidRPr="002C4C6B">
        <w:rPr>
          <w:sz w:val="18"/>
          <w:szCs w:val="18"/>
        </w:rPr>
        <w:t xml:space="preserve">. </w:t>
      </w:r>
      <w:r w:rsidR="00C22FE9">
        <w:rPr>
          <w:sz w:val="18"/>
          <w:szCs w:val="18"/>
        </w:rPr>
        <w:t>This indicates that there were potentially more factors playing a role in the</w:t>
      </w:r>
      <w:r w:rsidR="00F436D6">
        <w:rPr>
          <w:sz w:val="18"/>
          <w:szCs w:val="18"/>
        </w:rPr>
        <w:t xml:space="preserve"> p</w:t>
      </w:r>
      <w:r w:rsidR="00C22FE9">
        <w:rPr>
          <w:sz w:val="18"/>
          <w:szCs w:val="18"/>
        </w:rPr>
        <w:t xml:space="preserve">oor performance in </w:t>
      </w:r>
      <w:r w:rsidR="00F436D6">
        <w:rPr>
          <w:sz w:val="18"/>
          <w:szCs w:val="18"/>
        </w:rPr>
        <w:t xml:space="preserve">specifically </w:t>
      </w:r>
      <w:r w:rsidR="00C22FE9">
        <w:rPr>
          <w:sz w:val="18"/>
          <w:szCs w:val="18"/>
        </w:rPr>
        <w:t>classifying fear than merely class balance.</w:t>
      </w:r>
    </w:p>
    <w:p w14:paraId="1C9A8792" w14:textId="33104C97"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r w:rsidR="004D2F06">
        <w:rPr>
          <w:sz w:val="18"/>
          <w:szCs w:val="18"/>
        </w:rPr>
        <w:t>While this may improve wider performance, classifying some emotions like fear remains challenging for the model, indicating limitations.</w:t>
      </w:r>
    </w:p>
    <w:p w14:paraId="13B5D3DF" w14:textId="710C362B" w:rsidR="00A15936" w:rsidRPr="00D85172" w:rsidRDefault="000668C2" w:rsidP="00C72D9C">
      <w:r w:rsidRPr="002C4C6B">
        <w:rPr>
          <w:sz w:val="18"/>
          <w:szCs w:val="18"/>
        </w:rPr>
        <w:t>As an additional experiment,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0BA07898"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w:t>
      </w:r>
      <w:r w:rsidR="00423185">
        <w:rPr>
          <w:sz w:val="18"/>
          <w:szCs w:val="18"/>
        </w:rPr>
        <w:t xml:space="preserve">re </w:t>
      </w:r>
      <w:r w:rsidRPr="002C4C6B">
        <w:rPr>
          <w:sz w:val="18"/>
          <w:szCs w:val="18"/>
        </w:rPr>
        <w:t xml:space="preserve">poorly on CK+ for fear and happiness,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B27E4B">
        <w:rPr>
          <w:sz w:val="18"/>
          <w:szCs w:val="18"/>
        </w:rPr>
        <w:t xml:space="preserve"> and limitation of</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36B74542" w:rsidR="00C72D9C" w:rsidRPr="00353379" w:rsidRDefault="009033C0" w:rsidP="00C72D9C">
      <w:pPr>
        <w:rPr>
          <w:sz w:val="18"/>
          <w:szCs w:val="18"/>
        </w:rPr>
      </w:pPr>
      <w:r>
        <w:rPr>
          <w:sz w:val="18"/>
          <w:szCs w:val="18"/>
        </w:rPr>
        <w:t>A demonstration</w:t>
      </w:r>
      <w:r w:rsidR="00353379">
        <w:rPr>
          <w:sz w:val="18"/>
          <w:szCs w:val="18"/>
        </w:rPr>
        <w:t xml:space="preserve"> video can be found here - </w:t>
      </w:r>
      <w:hyperlink r:id="rId9" w:history="1">
        <w:r w:rsidR="00353379" w:rsidRPr="00353379">
          <w:rPr>
            <w:rStyle w:val="Hyperlink"/>
            <w:sz w:val="18"/>
            <w:szCs w:val="18"/>
          </w:rPr>
          <w:t>AI Assignment Implementation Demo.mp4</w:t>
        </w:r>
      </w:hyperlink>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1CC88B29" w14:textId="01FFBEB7" w:rsidR="00055340" w:rsidRPr="00055340" w:rsidRDefault="0012082C" w:rsidP="00055340">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w:t>
      </w:r>
      <w:r w:rsidR="001403DD">
        <w:rPr>
          <w:sz w:val="18"/>
          <w:szCs w:val="18"/>
        </w:rPr>
        <w:t xml:space="preserve">While the model was powerful in many ways, its’ simplicity also limited its’ potential since it seemingly underperformed in classifying more complex emotion such as fear. </w:t>
      </w:r>
      <w:r w:rsidR="00E46F75" w:rsidRPr="002C4C6B">
        <w:rPr>
          <w:sz w:val="18"/>
          <w:szCs w:val="18"/>
        </w:rPr>
        <w:t xml:space="preserve">In the future, more complex algorithms could be explored such as </w:t>
      </w:r>
      <w:r w:rsidR="0025512B" w:rsidRPr="002C4C6B">
        <w:rPr>
          <w:sz w:val="18"/>
          <w:szCs w:val="18"/>
        </w:rPr>
        <w:t>Convolutional Neural Networks (CNNs)</w:t>
      </w:r>
      <w:r w:rsidR="00C955EC" w:rsidRPr="002C4C6B">
        <w:rPr>
          <w:sz w:val="18"/>
          <w:szCs w:val="18"/>
        </w:rPr>
        <w:t xml:space="preserve">. </w:t>
      </w:r>
      <w:r w:rsidR="0080076D">
        <w:rPr>
          <w:sz w:val="18"/>
          <w:szCs w:val="18"/>
        </w:rPr>
        <w:t>These use a series of layers, each of which detects various features of an input image. Each layer builds on the output of the previous layer to recognize very detailed patterns</w:t>
      </w:r>
      <w:r w:rsidR="00A74CE5">
        <w:rPr>
          <w:sz w:val="18"/>
          <w:szCs w:val="18"/>
        </w:rPr>
        <w:t>,</w:t>
      </w:r>
      <w:r w:rsidR="00C955EC" w:rsidRPr="002C4C6B">
        <w:rPr>
          <w:sz w:val="18"/>
          <w:szCs w:val="18"/>
        </w:rPr>
        <w:t xml:space="preserve"> making them more powerful than some of the methods discussed </w:t>
      </w:r>
      <w:r w:rsidR="00C03BD7" w:rsidRPr="002C4C6B">
        <w:rPr>
          <w:sz w:val="18"/>
          <w:szCs w:val="18"/>
        </w:rPr>
        <w:t>i</w:t>
      </w:r>
      <w:r w:rsidR="00C955EC" w:rsidRPr="002C4C6B">
        <w:rPr>
          <w:sz w:val="18"/>
          <w:szCs w:val="18"/>
        </w:rPr>
        <w:t>n this study</w:t>
      </w:r>
      <w:r w:rsidR="00B336B8">
        <w:rPr>
          <w:sz w:val="18"/>
          <w:szCs w:val="18"/>
        </w:rPr>
        <w:t xml:space="preserve"> </w:t>
      </w:r>
      <w:r w:rsidR="00055340" w:rsidRPr="00055340">
        <w:rPr>
          <w:sz w:val="18"/>
          <w:szCs w:val="18"/>
        </w:rPr>
        <w:t>(Awati, 2022)</w:t>
      </w:r>
      <w:r w:rsidR="00B336B8">
        <w:rPr>
          <w:sz w:val="18"/>
          <w:szCs w:val="18"/>
        </w:rPr>
        <w:t>.</w:t>
      </w:r>
    </w:p>
    <w:p w14:paraId="70F4C339" w14:textId="548F6AB3" w:rsidR="00E46F75" w:rsidRPr="002C4C6B" w:rsidRDefault="00E46F75" w:rsidP="00B679AE">
      <w:pPr>
        <w:rPr>
          <w:sz w:val="18"/>
          <w:szCs w:val="18"/>
        </w:rPr>
      </w:pP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lastRenderedPageBreak/>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(Lyons, Miyuki Kamachi and Jiro Gyoba,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63.4pt" o:ole="">
            <v:imagedata r:id="rId11" o:title=""/>
          </v:shape>
          <o:OLEObject Type="Embed" ProgID="Visio.Drawing.15" ShapeID="_x0000_i1025" DrawAspect="Content" ObjectID="_1794673640" r:id="rId12"/>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lastRenderedPageBreak/>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4B0F6875" w14:textId="6C11D399" w:rsidR="00897B70" w:rsidRPr="004C01C9" w:rsidRDefault="00897B70" w:rsidP="00B679AE">
      <w:pPr>
        <w:rPr>
          <w:sz w:val="18"/>
          <w:szCs w:val="18"/>
        </w:rPr>
      </w:pPr>
      <w:r w:rsidRPr="00897B70">
        <w:rPr>
          <w:sz w:val="18"/>
          <w:szCs w:val="18"/>
        </w:rPr>
        <w:t xml:space="preserve">Awati, R. (2022). </w:t>
      </w:r>
      <w:r w:rsidRPr="00897B70">
        <w:rPr>
          <w:i/>
          <w:iCs/>
          <w:sz w:val="18"/>
          <w:szCs w:val="18"/>
        </w:rPr>
        <w:t>What is convolutional neural network? - Definition from WhatIs.com</w:t>
      </w:r>
      <w:r w:rsidRPr="00897B70">
        <w:rPr>
          <w:sz w:val="18"/>
          <w:szCs w:val="18"/>
        </w:rPr>
        <w:t>. [online] SearchEnterpriseAI. Available at: https://www.techtarget.com/searchenterpriseai/definition/convolutional-neural-network.</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6"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Default="00A736AC" w:rsidP="00B679AE">
      <w:pPr>
        <w:rPr>
          <w:sz w:val="18"/>
          <w:szCs w:val="18"/>
        </w:rPr>
      </w:pPr>
      <w:r w:rsidRPr="004C01C9">
        <w:rPr>
          <w:sz w:val="18"/>
          <w:szCs w:val="18"/>
        </w:rPr>
        <w:t>Lyons, M.J., Miyuki Kamachi and Jiro Gyoba (1998). The Japanese Female Facial Expression (JAFFE) Dataset. doi:https://doi.org/10.5281/zenodo.3451524.</w:t>
      </w:r>
    </w:p>
    <w:p w14:paraId="730CB2C7" w14:textId="352464F6" w:rsidR="001F70E9" w:rsidRPr="004C01C9" w:rsidRDefault="00C3683D" w:rsidP="00B679AE">
      <w:pPr>
        <w:rPr>
          <w:sz w:val="18"/>
          <w:szCs w:val="18"/>
        </w:rPr>
      </w:pPr>
      <w:r w:rsidRPr="00C3683D">
        <w:rPr>
          <w:sz w:val="18"/>
          <w:szCs w:val="18"/>
        </w:rPr>
        <w:lastRenderedPageBreak/>
        <w:t xml:space="preserve">Mittal, A. (2020). </w:t>
      </w:r>
      <w:r w:rsidRPr="00C3683D">
        <w:rPr>
          <w:i/>
          <w:iCs/>
          <w:sz w:val="18"/>
          <w:szCs w:val="18"/>
        </w:rPr>
        <w:t>Haar Cascades, Explained</w:t>
      </w:r>
      <w:r w:rsidRPr="00C3683D">
        <w:rPr>
          <w:sz w:val="18"/>
          <w:szCs w:val="18"/>
        </w:rPr>
        <w:t>. [online] Medium. Available at: https://medium.com/analytics-vidhya/haar-cascades-explained-38210e57970d.</w:t>
      </w:r>
    </w:p>
    <w:p w14:paraId="6A256D40" w14:textId="77777777" w:rsidR="009B04D2" w:rsidRPr="004C01C9" w:rsidRDefault="009B04D2" w:rsidP="009B04D2">
      <w:pPr>
        <w:rPr>
          <w:sz w:val="18"/>
          <w:szCs w:val="18"/>
        </w:rPr>
      </w:pPr>
      <w:r w:rsidRPr="004C01C9">
        <w:rPr>
          <w:sz w:val="18"/>
          <w:szCs w:val="18"/>
        </w:rPr>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49053" w14:textId="77777777" w:rsidR="0010231A" w:rsidRDefault="0010231A" w:rsidP="00C72D9C">
      <w:pPr>
        <w:spacing w:after="0" w:line="240" w:lineRule="auto"/>
      </w:pPr>
      <w:r>
        <w:separator/>
      </w:r>
    </w:p>
  </w:endnote>
  <w:endnote w:type="continuationSeparator" w:id="0">
    <w:p w14:paraId="2D8A7C1F" w14:textId="77777777" w:rsidR="0010231A" w:rsidRDefault="0010231A"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9A01E" w14:textId="77777777" w:rsidR="0010231A" w:rsidRDefault="0010231A" w:rsidP="00C72D9C">
      <w:pPr>
        <w:spacing w:after="0" w:line="240" w:lineRule="auto"/>
      </w:pPr>
      <w:r>
        <w:separator/>
      </w:r>
    </w:p>
  </w:footnote>
  <w:footnote w:type="continuationSeparator" w:id="0">
    <w:p w14:paraId="69263177" w14:textId="77777777" w:rsidR="0010231A" w:rsidRDefault="0010231A"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0547A"/>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340"/>
    <w:rsid w:val="000556B9"/>
    <w:rsid w:val="00055786"/>
    <w:rsid w:val="000564F6"/>
    <w:rsid w:val="00056BDE"/>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09A"/>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31A"/>
    <w:rsid w:val="00102692"/>
    <w:rsid w:val="00103715"/>
    <w:rsid w:val="00104137"/>
    <w:rsid w:val="00106210"/>
    <w:rsid w:val="0010684C"/>
    <w:rsid w:val="001101FC"/>
    <w:rsid w:val="001104D0"/>
    <w:rsid w:val="00110FEE"/>
    <w:rsid w:val="00111C74"/>
    <w:rsid w:val="00112DE0"/>
    <w:rsid w:val="00114DBE"/>
    <w:rsid w:val="00117C21"/>
    <w:rsid w:val="00120005"/>
    <w:rsid w:val="0012082C"/>
    <w:rsid w:val="00126974"/>
    <w:rsid w:val="001322DE"/>
    <w:rsid w:val="0013358D"/>
    <w:rsid w:val="001348E1"/>
    <w:rsid w:val="00134D3B"/>
    <w:rsid w:val="00137943"/>
    <w:rsid w:val="001403DD"/>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1A37"/>
    <w:rsid w:val="001B5B34"/>
    <w:rsid w:val="001C212E"/>
    <w:rsid w:val="001D0802"/>
    <w:rsid w:val="001D1E4C"/>
    <w:rsid w:val="001D1FF0"/>
    <w:rsid w:val="001D3625"/>
    <w:rsid w:val="001D60BE"/>
    <w:rsid w:val="001E5C2F"/>
    <w:rsid w:val="001E6A3D"/>
    <w:rsid w:val="001F489C"/>
    <w:rsid w:val="001F4BE3"/>
    <w:rsid w:val="001F70E9"/>
    <w:rsid w:val="002003A6"/>
    <w:rsid w:val="00210F44"/>
    <w:rsid w:val="00211DBE"/>
    <w:rsid w:val="00212C06"/>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5DDB"/>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4D3D"/>
    <w:rsid w:val="002D615F"/>
    <w:rsid w:val="002D6A2A"/>
    <w:rsid w:val="002E363C"/>
    <w:rsid w:val="002E45C1"/>
    <w:rsid w:val="002E7A89"/>
    <w:rsid w:val="002F4B50"/>
    <w:rsid w:val="0030172C"/>
    <w:rsid w:val="00305E0A"/>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3379"/>
    <w:rsid w:val="00353DB2"/>
    <w:rsid w:val="00355C88"/>
    <w:rsid w:val="00362C6A"/>
    <w:rsid w:val="00370F62"/>
    <w:rsid w:val="00371C12"/>
    <w:rsid w:val="00373B58"/>
    <w:rsid w:val="00373B63"/>
    <w:rsid w:val="003749A2"/>
    <w:rsid w:val="00384EBB"/>
    <w:rsid w:val="00390629"/>
    <w:rsid w:val="00390CE3"/>
    <w:rsid w:val="00391BE3"/>
    <w:rsid w:val="0039387D"/>
    <w:rsid w:val="003976A7"/>
    <w:rsid w:val="003B0D3D"/>
    <w:rsid w:val="003B1B93"/>
    <w:rsid w:val="003B2C32"/>
    <w:rsid w:val="003B7305"/>
    <w:rsid w:val="003B76A8"/>
    <w:rsid w:val="003C2DC5"/>
    <w:rsid w:val="003D00A8"/>
    <w:rsid w:val="003D7F96"/>
    <w:rsid w:val="003E123D"/>
    <w:rsid w:val="003E15FB"/>
    <w:rsid w:val="003E43F2"/>
    <w:rsid w:val="003E5AF8"/>
    <w:rsid w:val="003F22E2"/>
    <w:rsid w:val="003F3615"/>
    <w:rsid w:val="003F4180"/>
    <w:rsid w:val="003F5990"/>
    <w:rsid w:val="003F6BC4"/>
    <w:rsid w:val="004028C0"/>
    <w:rsid w:val="00407EE3"/>
    <w:rsid w:val="00411E60"/>
    <w:rsid w:val="00413265"/>
    <w:rsid w:val="00413A3D"/>
    <w:rsid w:val="00417EE7"/>
    <w:rsid w:val="00423185"/>
    <w:rsid w:val="0042491F"/>
    <w:rsid w:val="00424DD1"/>
    <w:rsid w:val="004251CB"/>
    <w:rsid w:val="004273E6"/>
    <w:rsid w:val="004277DD"/>
    <w:rsid w:val="00430B04"/>
    <w:rsid w:val="0043211D"/>
    <w:rsid w:val="00435992"/>
    <w:rsid w:val="00441C69"/>
    <w:rsid w:val="004526A0"/>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C3F97"/>
    <w:rsid w:val="004D14C4"/>
    <w:rsid w:val="004D2F06"/>
    <w:rsid w:val="004D4A54"/>
    <w:rsid w:val="004D594A"/>
    <w:rsid w:val="004D6703"/>
    <w:rsid w:val="004E0355"/>
    <w:rsid w:val="004E15AA"/>
    <w:rsid w:val="004E1BEF"/>
    <w:rsid w:val="004E64AB"/>
    <w:rsid w:val="004F0EC1"/>
    <w:rsid w:val="004F155E"/>
    <w:rsid w:val="004F6652"/>
    <w:rsid w:val="004F738E"/>
    <w:rsid w:val="00505844"/>
    <w:rsid w:val="00510C09"/>
    <w:rsid w:val="00514694"/>
    <w:rsid w:val="0052369D"/>
    <w:rsid w:val="00524BDA"/>
    <w:rsid w:val="00525347"/>
    <w:rsid w:val="005303C8"/>
    <w:rsid w:val="00531757"/>
    <w:rsid w:val="0053649A"/>
    <w:rsid w:val="0054066C"/>
    <w:rsid w:val="00544C52"/>
    <w:rsid w:val="00552EE3"/>
    <w:rsid w:val="00554D80"/>
    <w:rsid w:val="00566032"/>
    <w:rsid w:val="0057726D"/>
    <w:rsid w:val="00581CE0"/>
    <w:rsid w:val="005830F2"/>
    <w:rsid w:val="005834E9"/>
    <w:rsid w:val="00583E93"/>
    <w:rsid w:val="00583EE2"/>
    <w:rsid w:val="00585EDE"/>
    <w:rsid w:val="005919B0"/>
    <w:rsid w:val="005922CA"/>
    <w:rsid w:val="00593333"/>
    <w:rsid w:val="00595368"/>
    <w:rsid w:val="0059582F"/>
    <w:rsid w:val="0059797C"/>
    <w:rsid w:val="005A1E5B"/>
    <w:rsid w:val="005A322F"/>
    <w:rsid w:val="005B0F88"/>
    <w:rsid w:val="005B74C6"/>
    <w:rsid w:val="005C1D2A"/>
    <w:rsid w:val="005C654D"/>
    <w:rsid w:val="005D1AE6"/>
    <w:rsid w:val="005D1D35"/>
    <w:rsid w:val="005D1FD2"/>
    <w:rsid w:val="005D4327"/>
    <w:rsid w:val="005D4601"/>
    <w:rsid w:val="005D47AF"/>
    <w:rsid w:val="005D7529"/>
    <w:rsid w:val="005E2186"/>
    <w:rsid w:val="005E3FE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4670"/>
    <w:rsid w:val="006360B0"/>
    <w:rsid w:val="006424C8"/>
    <w:rsid w:val="006441B4"/>
    <w:rsid w:val="006452B6"/>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16DC"/>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91D1B"/>
    <w:rsid w:val="007A3EE0"/>
    <w:rsid w:val="007B5F13"/>
    <w:rsid w:val="007B6D94"/>
    <w:rsid w:val="007B7C69"/>
    <w:rsid w:val="007C4260"/>
    <w:rsid w:val="007D16D2"/>
    <w:rsid w:val="007D3769"/>
    <w:rsid w:val="007D6DAB"/>
    <w:rsid w:val="007E3D6B"/>
    <w:rsid w:val="007E6459"/>
    <w:rsid w:val="007F35B4"/>
    <w:rsid w:val="0080076D"/>
    <w:rsid w:val="00802685"/>
    <w:rsid w:val="008054C4"/>
    <w:rsid w:val="0080669C"/>
    <w:rsid w:val="0081179B"/>
    <w:rsid w:val="00811F87"/>
    <w:rsid w:val="0081469E"/>
    <w:rsid w:val="0082386B"/>
    <w:rsid w:val="00824943"/>
    <w:rsid w:val="00824D46"/>
    <w:rsid w:val="00830C5C"/>
    <w:rsid w:val="0083199D"/>
    <w:rsid w:val="008361B5"/>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97B70"/>
    <w:rsid w:val="008A52AE"/>
    <w:rsid w:val="008B0497"/>
    <w:rsid w:val="008B5017"/>
    <w:rsid w:val="008C0026"/>
    <w:rsid w:val="008C0079"/>
    <w:rsid w:val="008D157A"/>
    <w:rsid w:val="008E13BA"/>
    <w:rsid w:val="008E6BC6"/>
    <w:rsid w:val="008E6D5F"/>
    <w:rsid w:val="008E7760"/>
    <w:rsid w:val="008F3946"/>
    <w:rsid w:val="00902BB8"/>
    <w:rsid w:val="00902F66"/>
    <w:rsid w:val="009033C0"/>
    <w:rsid w:val="009037A8"/>
    <w:rsid w:val="0090749B"/>
    <w:rsid w:val="00911FF1"/>
    <w:rsid w:val="00913734"/>
    <w:rsid w:val="00913BF5"/>
    <w:rsid w:val="009238CE"/>
    <w:rsid w:val="00925488"/>
    <w:rsid w:val="00925CCB"/>
    <w:rsid w:val="0092696D"/>
    <w:rsid w:val="00931470"/>
    <w:rsid w:val="00933E9F"/>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2D0A"/>
    <w:rsid w:val="0098302E"/>
    <w:rsid w:val="0098795E"/>
    <w:rsid w:val="00993636"/>
    <w:rsid w:val="00993FFE"/>
    <w:rsid w:val="009949D7"/>
    <w:rsid w:val="0099530C"/>
    <w:rsid w:val="009A4505"/>
    <w:rsid w:val="009A46AD"/>
    <w:rsid w:val="009A5B30"/>
    <w:rsid w:val="009B04D2"/>
    <w:rsid w:val="009B2102"/>
    <w:rsid w:val="009B2CF0"/>
    <w:rsid w:val="009B310A"/>
    <w:rsid w:val="009B3DD5"/>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74CE5"/>
    <w:rsid w:val="00A82F07"/>
    <w:rsid w:val="00A832FB"/>
    <w:rsid w:val="00A83529"/>
    <w:rsid w:val="00A83D6F"/>
    <w:rsid w:val="00A852E4"/>
    <w:rsid w:val="00A857D7"/>
    <w:rsid w:val="00A877A3"/>
    <w:rsid w:val="00A879AC"/>
    <w:rsid w:val="00A95A05"/>
    <w:rsid w:val="00A96D4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E5BAC"/>
    <w:rsid w:val="00AF17AB"/>
    <w:rsid w:val="00AF30CB"/>
    <w:rsid w:val="00AF3D6F"/>
    <w:rsid w:val="00AF461A"/>
    <w:rsid w:val="00B044AD"/>
    <w:rsid w:val="00B054AB"/>
    <w:rsid w:val="00B07713"/>
    <w:rsid w:val="00B105DF"/>
    <w:rsid w:val="00B10870"/>
    <w:rsid w:val="00B10D6E"/>
    <w:rsid w:val="00B15969"/>
    <w:rsid w:val="00B20B68"/>
    <w:rsid w:val="00B21BC2"/>
    <w:rsid w:val="00B27740"/>
    <w:rsid w:val="00B27D1F"/>
    <w:rsid w:val="00B27E4B"/>
    <w:rsid w:val="00B336B8"/>
    <w:rsid w:val="00B34920"/>
    <w:rsid w:val="00B34D48"/>
    <w:rsid w:val="00B41A04"/>
    <w:rsid w:val="00B45665"/>
    <w:rsid w:val="00B472C2"/>
    <w:rsid w:val="00B47AC2"/>
    <w:rsid w:val="00B533E8"/>
    <w:rsid w:val="00B5455A"/>
    <w:rsid w:val="00B54B07"/>
    <w:rsid w:val="00B61F85"/>
    <w:rsid w:val="00B63302"/>
    <w:rsid w:val="00B63D03"/>
    <w:rsid w:val="00B67168"/>
    <w:rsid w:val="00B679AE"/>
    <w:rsid w:val="00B7006D"/>
    <w:rsid w:val="00B71D5B"/>
    <w:rsid w:val="00B76D77"/>
    <w:rsid w:val="00B77645"/>
    <w:rsid w:val="00B77974"/>
    <w:rsid w:val="00B813FE"/>
    <w:rsid w:val="00B82EE7"/>
    <w:rsid w:val="00B8769C"/>
    <w:rsid w:val="00B95451"/>
    <w:rsid w:val="00B95D83"/>
    <w:rsid w:val="00B95F4C"/>
    <w:rsid w:val="00B96CFD"/>
    <w:rsid w:val="00BA137A"/>
    <w:rsid w:val="00BA1F31"/>
    <w:rsid w:val="00BA3960"/>
    <w:rsid w:val="00BA668E"/>
    <w:rsid w:val="00BB3023"/>
    <w:rsid w:val="00BC23D6"/>
    <w:rsid w:val="00BC33EE"/>
    <w:rsid w:val="00BD61E8"/>
    <w:rsid w:val="00BE11A7"/>
    <w:rsid w:val="00BE3BDE"/>
    <w:rsid w:val="00BE42F1"/>
    <w:rsid w:val="00BF1EB8"/>
    <w:rsid w:val="00BF55BC"/>
    <w:rsid w:val="00BF6B96"/>
    <w:rsid w:val="00C022D0"/>
    <w:rsid w:val="00C03BD7"/>
    <w:rsid w:val="00C049C8"/>
    <w:rsid w:val="00C05996"/>
    <w:rsid w:val="00C05C79"/>
    <w:rsid w:val="00C074DD"/>
    <w:rsid w:val="00C106FD"/>
    <w:rsid w:val="00C10A0C"/>
    <w:rsid w:val="00C12467"/>
    <w:rsid w:val="00C13255"/>
    <w:rsid w:val="00C22FE9"/>
    <w:rsid w:val="00C24DBA"/>
    <w:rsid w:val="00C27CAB"/>
    <w:rsid w:val="00C3155D"/>
    <w:rsid w:val="00C31F2B"/>
    <w:rsid w:val="00C3251C"/>
    <w:rsid w:val="00C3586F"/>
    <w:rsid w:val="00C3683D"/>
    <w:rsid w:val="00C43331"/>
    <w:rsid w:val="00C474B4"/>
    <w:rsid w:val="00C51D62"/>
    <w:rsid w:val="00C526AA"/>
    <w:rsid w:val="00C64D2E"/>
    <w:rsid w:val="00C66FF5"/>
    <w:rsid w:val="00C670B6"/>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2E60"/>
    <w:rsid w:val="00D7300D"/>
    <w:rsid w:val="00D73165"/>
    <w:rsid w:val="00D8349A"/>
    <w:rsid w:val="00D8354D"/>
    <w:rsid w:val="00D843B7"/>
    <w:rsid w:val="00D84DE8"/>
    <w:rsid w:val="00D85172"/>
    <w:rsid w:val="00D863F8"/>
    <w:rsid w:val="00D8766E"/>
    <w:rsid w:val="00D9119D"/>
    <w:rsid w:val="00D91AC4"/>
    <w:rsid w:val="00D92AC0"/>
    <w:rsid w:val="00D97DBB"/>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5ED"/>
    <w:rsid w:val="00DE1F53"/>
    <w:rsid w:val="00DE239E"/>
    <w:rsid w:val="00DF2AB3"/>
    <w:rsid w:val="00DF393D"/>
    <w:rsid w:val="00DF6233"/>
    <w:rsid w:val="00E01367"/>
    <w:rsid w:val="00E138A4"/>
    <w:rsid w:val="00E162AC"/>
    <w:rsid w:val="00E17680"/>
    <w:rsid w:val="00E21F61"/>
    <w:rsid w:val="00E23C6B"/>
    <w:rsid w:val="00E25C97"/>
    <w:rsid w:val="00E268B7"/>
    <w:rsid w:val="00E3478E"/>
    <w:rsid w:val="00E4229A"/>
    <w:rsid w:val="00E427CB"/>
    <w:rsid w:val="00E46F75"/>
    <w:rsid w:val="00E52A4E"/>
    <w:rsid w:val="00E52E13"/>
    <w:rsid w:val="00E53581"/>
    <w:rsid w:val="00E60197"/>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EE6D30"/>
    <w:rsid w:val="00F03067"/>
    <w:rsid w:val="00F03676"/>
    <w:rsid w:val="00F13AAE"/>
    <w:rsid w:val="00F173BB"/>
    <w:rsid w:val="00F203A6"/>
    <w:rsid w:val="00F20A84"/>
    <w:rsid w:val="00F2171A"/>
    <w:rsid w:val="00F27FC1"/>
    <w:rsid w:val="00F3197E"/>
    <w:rsid w:val="00F32CB1"/>
    <w:rsid w:val="00F37673"/>
    <w:rsid w:val="00F436D6"/>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B216A"/>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32387461">
      <w:bodyDiv w:val="1"/>
      <w:marLeft w:val="0"/>
      <w:marRight w:val="0"/>
      <w:marTop w:val="0"/>
      <w:marBottom w:val="0"/>
      <w:divBdr>
        <w:top w:val="none" w:sz="0" w:space="0" w:color="auto"/>
        <w:left w:val="none" w:sz="0" w:space="0" w:color="auto"/>
        <w:bottom w:val="none" w:sz="0" w:space="0" w:color="auto"/>
        <w:right w:val="none" w:sz="0" w:space="0" w:color="auto"/>
      </w:divBdr>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278268320">
      <w:bodyDiv w:val="1"/>
      <w:marLeft w:val="0"/>
      <w:marRight w:val="0"/>
      <w:marTop w:val="0"/>
      <w:marBottom w:val="0"/>
      <w:divBdr>
        <w:top w:val="none" w:sz="0" w:space="0" w:color="auto"/>
        <w:left w:val="none" w:sz="0" w:space="0" w:color="auto"/>
        <w:bottom w:val="none" w:sz="0" w:space="0" w:color="auto"/>
        <w:right w:val="none" w:sz="0" w:space="0" w:color="auto"/>
      </w:divBdr>
    </w:div>
    <w:div w:id="329456340">
      <w:bodyDiv w:val="1"/>
      <w:marLeft w:val="0"/>
      <w:marRight w:val="0"/>
      <w:marTop w:val="0"/>
      <w:marBottom w:val="0"/>
      <w:divBdr>
        <w:top w:val="none" w:sz="0" w:space="0" w:color="auto"/>
        <w:left w:val="none" w:sz="0" w:space="0" w:color="auto"/>
        <w:bottom w:val="none" w:sz="0" w:space="0" w:color="auto"/>
        <w:right w:val="none" w:sz="0" w:space="0" w:color="auto"/>
      </w:divBdr>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43100963">
      <w:bodyDiv w:val="1"/>
      <w:marLeft w:val="0"/>
      <w:marRight w:val="0"/>
      <w:marTop w:val="0"/>
      <w:marBottom w:val="0"/>
      <w:divBdr>
        <w:top w:val="none" w:sz="0" w:space="0" w:color="auto"/>
        <w:left w:val="none" w:sz="0" w:space="0" w:color="auto"/>
        <w:bottom w:val="none" w:sz="0" w:space="0" w:color="auto"/>
        <w:right w:val="none" w:sz="0" w:space="0" w:color="auto"/>
      </w:divBdr>
      <w:divsChild>
        <w:div w:id="1470052170">
          <w:marLeft w:val="0"/>
          <w:marRight w:val="0"/>
          <w:marTop w:val="0"/>
          <w:marBottom w:val="0"/>
          <w:divBdr>
            <w:top w:val="none" w:sz="0" w:space="0" w:color="auto"/>
            <w:left w:val="none" w:sz="0" w:space="0" w:color="auto"/>
            <w:bottom w:val="none" w:sz="0" w:space="0" w:color="auto"/>
            <w:right w:val="none" w:sz="0" w:space="0" w:color="auto"/>
          </w:divBdr>
        </w:div>
      </w:divsChild>
    </w:div>
    <w:div w:id="548690638">
      <w:bodyDiv w:val="1"/>
      <w:marLeft w:val="0"/>
      <w:marRight w:val="0"/>
      <w:marTop w:val="0"/>
      <w:marBottom w:val="0"/>
      <w:divBdr>
        <w:top w:val="none" w:sz="0" w:space="0" w:color="auto"/>
        <w:left w:val="none" w:sz="0" w:space="0" w:color="auto"/>
        <w:bottom w:val="none" w:sz="0" w:space="0" w:color="auto"/>
        <w:right w:val="none" w:sz="0" w:space="0" w:color="auto"/>
      </w:divBdr>
      <w:divsChild>
        <w:div w:id="2066224080">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9814795">
      <w:bodyDiv w:val="1"/>
      <w:marLeft w:val="0"/>
      <w:marRight w:val="0"/>
      <w:marTop w:val="0"/>
      <w:marBottom w:val="0"/>
      <w:divBdr>
        <w:top w:val="none" w:sz="0" w:space="0" w:color="auto"/>
        <w:left w:val="none" w:sz="0" w:space="0" w:color="auto"/>
        <w:bottom w:val="none" w:sz="0" w:space="0" w:color="auto"/>
        <w:right w:val="none" w:sz="0" w:space="0" w:color="auto"/>
      </w:divBdr>
      <w:divsChild>
        <w:div w:id="1621184448">
          <w:marLeft w:val="0"/>
          <w:marRight w:val="0"/>
          <w:marTop w:val="0"/>
          <w:marBottom w:val="0"/>
          <w:divBdr>
            <w:top w:val="none" w:sz="0" w:space="0" w:color="auto"/>
            <w:left w:val="none" w:sz="0" w:space="0" w:color="auto"/>
            <w:bottom w:val="none" w:sz="0" w:space="0" w:color="auto"/>
            <w:right w:val="none" w:sz="0" w:space="0" w:color="auto"/>
          </w:divBdr>
        </w:div>
      </w:divsChild>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44175775">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944187713">
      <w:bodyDiv w:val="1"/>
      <w:marLeft w:val="0"/>
      <w:marRight w:val="0"/>
      <w:marTop w:val="0"/>
      <w:marBottom w:val="0"/>
      <w:divBdr>
        <w:top w:val="none" w:sz="0" w:space="0" w:color="auto"/>
        <w:left w:val="none" w:sz="0" w:space="0" w:color="auto"/>
        <w:bottom w:val="none" w:sz="0" w:space="0" w:color="auto"/>
        <w:right w:val="none" w:sz="0" w:space="0" w:color="auto"/>
      </w:divBdr>
      <w:divsChild>
        <w:div w:id="1429427341">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78153658">
      <w:bodyDiv w:val="1"/>
      <w:marLeft w:val="0"/>
      <w:marRight w:val="0"/>
      <w:marTop w:val="0"/>
      <w:marBottom w:val="0"/>
      <w:divBdr>
        <w:top w:val="none" w:sz="0" w:space="0" w:color="auto"/>
        <w:left w:val="none" w:sz="0" w:space="0" w:color="auto"/>
        <w:bottom w:val="none" w:sz="0" w:space="0" w:color="auto"/>
        <w:right w:val="none" w:sz="0" w:space="0" w:color="auto"/>
      </w:divBdr>
      <w:divsChild>
        <w:div w:id="710036851">
          <w:marLeft w:val="0"/>
          <w:marRight w:val="0"/>
          <w:marTop w:val="0"/>
          <w:marBottom w:val="0"/>
          <w:divBdr>
            <w:top w:val="none" w:sz="0" w:space="0" w:color="auto"/>
            <w:left w:val="none" w:sz="0" w:space="0" w:color="auto"/>
            <w:bottom w:val="none" w:sz="0" w:space="0" w:color="auto"/>
            <w:right w:val="none" w:sz="0" w:space="0" w:color="auto"/>
          </w:divBdr>
        </w:div>
      </w:divsChild>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385448968">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497528146">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56192455">
      <w:bodyDiv w:val="1"/>
      <w:marLeft w:val="0"/>
      <w:marRight w:val="0"/>
      <w:marTop w:val="0"/>
      <w:marBottom w:val="0"/>
      <w:divBdr>
        <w:top w:val="none" w:sz="0" w:space="0" w:color="auto"/>
        <w:left w:val="none" w:sz="0" w:space="0" w:color="auto"/>
        <w:bottom w:val="none" w:sz="0" w:space="0" w:color="auto"/>
        <w:right w:val="none" w:sz="0" w:space="0" w:color="auto"/>
      </w:divBdr>
      <w:divsChild>
        <w:div w:id="369847283">
          <w:marLeft w:val="0"/>
          <w:marRight w:val="0"/>
          <w:marTop w:val="0"/>
          <w:marBottom w:val="0"/>
          <w:divBdr>
            <w:top w:val="none" w:sz="0" w:space="0" w:color="auto"/>
            <w:left w:val="none" w:sz="0" w:space="0" w:color="auto"/>
            <w:bottom w:val="none" w:sz="0" w:space="0" w:color="auto"/>
            <w:right w:val="none" w:sz="0" w:space="0" w:color="auto"/>
          </w:divBdr>
        </w:div>
      </w:divsChild>
    </w:div>
    <w:div w:id="1879514025">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ps.europa.eu/system/files/2021-05/21-05-26_techdispatch-facial-emotion-recognition_ref_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suclanac-my.sharepoint.com/:v:/g/personal/jbirkenhead1_uclan_ac_uk/EZUAszBUV_RPr2NXJue1tVIBu4Y-nT4ssBRY0RhrRdxHKw?nav=eyJyZWZlcnJhbEluZm8iOnsicmVmZXJyYWxBcHAiOiJPbmVEcml2ZUZvckJ1c2luZXNzIiwicmVmZXJyYWxBcHBQbGF0Zm9ybSI6IldlYiIsInJlZmVycmFsTW9kZSI6InZpZXciLCJyZWZlcnJhbFZpZXciOiJNeUZpbGVzTGlua0NvcHkifX0&amp;e=Xgg2jd"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9</Pages>
  <Words>4524</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898</cp:revision>
  <dcterms:created xsi:type="dcterms:W3CDTF">2024-11-03T11:39:00Z</dcterms:created>
  <dcterms:modified xsi:type="dcterms:W3CDTF">2024-12-02T19:40:00Z</dcterms:modified>
</cp:coreProperties>
</file>