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EE4" w:rsidRDefault="00594C48" w:rsidP="00594C48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2D Cleland immunoblotting</w:t>
      </w:r>
    </w:p>
    <w:p w:rsidR="00594C48" w:rsidRDefault="00594C48" w:rsidP="00594C48">
      <w:pPr>
        <w:jc w:val="center"/>
        <w:rPr>
          <w:b/>
          <w:bCs/>
          <w:sz w:val="22"/>
          <w:szCs w:val="22"/>
        </w:rPr>
      </w:pPr>
    </w:p>
    <w:p w:rsidR="00594C48" w:rsidRDefault="00594C48" w:rsidP="00594C48">
      <w:pPr>
        <w:rPr>
          <w:sz w:val="22"/>
          <w:szCs w:val="22"/>
        </w:rPr>
      </w:pPr>
      <w:r>
        <w:rPr>
          <w:sz w:val="22"/>
          <w:szCs w:val="22"/>
        </w:rPr>
        <w:t>For larger proteins with many cysteine residues, it may be necessary to implement a 2D Cleland immunoblotting method. This would involve:</w:t>
      </w:r>
    </w:p>
    <w:p w:rsidR="00594C48" w:rsidRDefault="00594C48" w:rsidP="00594C48">
      <w:pPr>
        <w:rPr>
          <w:sz w:val="22"/>
          <w:szCs w:val="22"/>
        </w:rPr>
      </w:pPr>
    </w:p>
    <w:p w:rsidR="00594C48" w:rsidRPr="00594C48" w:rsidRDefault="00594C48" w:rsidP="00594C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4C48">
        <w:rPr>
          <w:sz w:val="22"/>
          <w:szCs w:val="22"/>
        </w:rPr>
        <w:t xml:space="preserve">Preparing 2PB and labelling the samples as set out in the </w:t>
      </w:r>
      <w:hyperlink r:id="rId5" w:history="1">
        <w:r w:rsidRPr="00594C48">
          <w:rPr>
            <w:rStyle w:val="Hyperlink"/>
            <w:sz w:val="22"/>
            <w:szCs w:val="22"/>
          </w:rPr>
          <w:t>protocol file</w:t>
        </w:r>
      </w:hyperlink>
      <w:r w:rsidRPr="00594C48">
        <w:rPr>
          <w:sz w:val="22"/>
          <w:szCs w:val="22"/>
        </w:rPr>
        <w:t xml:space="preserve">. </w:t>
      </w:r>
    </w:p>
    <w:p w:rsidR="00594C48" w:rsidRPr="00594C48" w:rsidRDefault="00594C48" w:rsidP="00594C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4C48">
        <w:rPr>
          <w:sz w:val="22"/>
          <w:szCs w:val="22"/>
        </w:rPr>
        <w:t>Resolving the sample in the first pH dimension using an isoelectric focusing (IEF) gel.</w:t>
      </w:r>
    </w:p>
    <w:p w:rsidR="00594C48" w:rsidRDefault="00594C48" w:rsidP="00594C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4C48">
        <w:rPr>
          <w:sz w:val="22"/>
          <w:szCs w:val="22"/>
        </w:rPr>
        <w:t xml:space="preserve">Resolving the sample in the second molecular mass dimension on a suitable, as in </w:t>
      </w:r>
      <w:r>
        <w:rPr>
          <w:sz w:val="22"/>
          <w:szCs w:val="22"/>
        </w:rPr>
        <w:t xml:space="preserve">pore-size optimised for the target, </w:t>
      </w:r>
      <w:r w:rsidRPr="00594C48">
        <w:rPr>
          <w:sz w:val="22"/>
          <w:szCs w:val="22"/>
        </w:rPr>
        <w:t xml:space="preserve">polyacrylamide gel. </w:t>
      </w:r>
    </w:p>
    <w:p w:rsidR="00594C48" w:rsidRDefault="00594C48" w:rsidP="00594C4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Implementing the Cleland immunoblotting method as set out in the protocol file.</w:t>
      </w:r>
    </w:p>
    <w:p w:rsidR="00594C48" w:rsidRDefault="00594C48" w:rsidP="00594C48">
      <w:pPr>
        <w:rPr>
          <w:sz w:val="22"/>
          <w:szCs w:val="22"/>
        </w:rPr>
      </w:pPr>
    </w:p>
    <w:p w:rsidR="00594C48" w:rsidRDefault="00594C48" w:rsidP="00594C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premise is that the dual pH and mass separation should enable the detection of a broader range of bands, in this case spots, that would otherwise be possible in conventional Cleland immunoblotting. In this way, difficult to measure proteins can be better addressed. </w:t>
      </w:r>
    </w:p>
    <w:p w:rsidR="00594C48" w:rsidRDefault="00594C48" w:rsidP="00594C48">
      <w:pPr>
        <w:jc w:val="both"/>
        <w:rPr>
          <w:sz w:val="22"/>
          <w:szCs w:val="22"/>
        </w:rPr>
      </w:pPr>
    </w:p>
    <w:p w:rsidR="00594C48" w:rsidRDefault="00594C48" w:rsidP="00594C48">
      <w:pPr>
        <w:jc w:val="both"/>
        <w:rPr>
          <w:sz w:val="22"/>
          <w:szCs w:val="22"/>
        </w:rPr>
      </w:pPr>
      <w:r>
        <w:rPr>
          <w:sz w:val="22"/>
          <w:szCs w:val="22"/>
        </w:rPr>
        <w:t>Potential adaptations/variations on this theme include:</w:t>
      </w:r>
    </w:p>
    <w:p w:rsidR="00594C48" w:rsidRDefault="00594C48" w:rsidP="00594C48">
      <w:pPr>
        <w:jc w:val="both"/>
        <w:rPr>
          <w:sz w:val="22"/>
          <w:szCs w:val="22"/>
        </w:rPr>
      </w:pPr>
    </w:p>
    <w:p w:rsidR="00594C48" w:rsidRDefault="00594C48" w:rsidP="00594C4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Tuning the size of the PEG-payload in 2PB to better resolve the target.</w:t>
      </w:r>
    </w:p>
    <w:p w:rsidR="00594C48" w:rsidRDefault="00594C48" w:rsidP="00594C4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IP or gel electrophoresis to enrich the target or band of interest in an alkylated sample before 2PB labelling and subsequent 2D Cleland immunoblotting.</w:t>
      </w:r>
    </w:p>
    <w:p w:rsidR="00594C48" w:rsidRDefault="00594C48" w:rsidP="00594C4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variation of 2, where 2PB is substituted for a cleavable, cysteine-reactive, FLAG payload to resolve cysteine redox proteoforms by mass and charge. </w:t>
      </w:r>
    </w:p>
    <w:p w:rsidR="00594C48" w:rsidRDefault="00594C48" w:rsidP="00594C48">
      <w:pPr>
        <w:jc w:val="both"/>
        <w:rPr>
          <w:sz w:val="22"/>
          <w:szCs w:val="22"/>
        </w:rPr>
      </w:pPr>
    </w:p>
    <w:p w:rsidR="00594C48" w:rsidRPr="00594C48" w:rsidRDefault="00594C48" w:rsidP="00594C48">
      <w:pPr>
        <w:jc w:val="both"/>
        <w:rPr>
          <w:sz w:val="22"/>
          <w:szCs w:val="22"/>
        </w:rPr>
      </w:pPr>
    </w:p>
    <w:p w:rsidR="00594C48" w:rsidRDefault="00594C48" w:rsidP="00594C48">
      <w:pPr>
        <w:rPr>
          <w:sz w:val="22"/>
          <w:szCs w:val="22"/>
        </w:rPr>
      </w:pPr>
    </w:p>
    <w:p w:rsidR="00594C48" w:rsidRPr="00594C48" w:rsidRDefault="00594C48" w:rsidP="00594C48">
      <w:pPr>
        <w:rPr>
          <w:sz w:val="22"/>
          <w:szCs w:val="22"/>
        </w:rPr>
      </w:pPr>
    </w:p>
    <w:sectPr w:rsidR="00594C48" w:rsidRPr="0059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E29"/>
    <w:multiLevelType w:val="hybridMultilevel"/>
    <w:tmpl w:val="9416A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32D9"/>
    <w:multiLevelType w:val="hybridMultilevel"/>
    <w:tmpl w:val="EB304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B7C82"/>
    <w:multiLevelType w:val="hybridMultilevel"/>
    <w:tmpl w:val="BF7EE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951BC"/>
    <w:multiLevelType w:val="hybridMultilevel"/>
    <w:tmpl w:val="DF102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28755">
    <w:abstractNumId w:val="0"/>
  </w:num>
  <w:num w:numId="2" w16cid:durableId="1577085611">
    <w:abstractNumId w:val="3"/>
  </w:num>
  <w:num w:numId="3" w16cid:durableId="1452899398">
    <w:abstractNumId w:val="1"/>
  </w:num>
  <w:num w:numId="4" w16cid:durableId="167642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48"/>
    <w:rsid w:val="00594C48"/>
    <w:rsid w:val="00E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D444"/>
  <w15:chartTrackingRefBased/>
  <w15:docId w15:val="{7C077774-E79D-B544-A87C-1DD50B3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C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mesCobley/Cleland_immunoblotting_James/blob/90ccf11f53729ce21d39fd0f696c5f4fb8ada6d0/Protocol%20fil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Cobley</dc:creator>
  <cp:keywords/>
  <dc:description/>
  <cp:lastModifiedBy>James Cobley</cp:lastModifiedBy>
  <cp:revision>1</cp:revision>
  <dcterms:created xsi:type="dcterms:W3CDTF">2024-09-16T15:00:00Z</dcterms:created>
  <dcterms:modified xsi:type="dcterms:W3CDTF">2024-09-16T15:11:00Z</dcterms:modified>
</cp:coreProperties>
</file>