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2791" w14:textId="1F91A3AD" w:rsidR="000E013B" w:rsidRPr="000E013B" w:rsidRDefault="000E013B" w:rsidP="000E0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Supplemental Notes</w:t>
      </w:r>
    </w:p>
    <w:p w14:paraId="36B4E0A2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Supplemental Note 1. Admissible State Space and the Core Redox Module (CRM)</w:t>
      </w:r>
    </w:p>
    <w:p w14:paraId="541A8376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S1.1 Admissible redox state space (structural layer)</w:t>
      </w:r>
    </w:p>
    <w:p w14:paraId="1832333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the admissible redox state space be specified by a small symmetric monoidal category</w:t>
      </w:r>
    </w:p>
    <w:p w14:paraId="58E292CD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adm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Obj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(C),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Hom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(C),∘,⊗,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,α,λ,ρ,σ),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7269E90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whose objects represent discrete mesoscopic molecular state classes and whose morphisms represent physically admissible transformations between these state classes. The monoidal structure encodes parallel composition.</w:t>
      </w:r>
    </w:p>
    <w:p w14:paraId="6F9DB6DA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object provides </w:t>
      </w:r>
      <w:r w:rsidRPr="000E01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structural admissibility</w:t>
      </w: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which state classes exist and which transformations are allowed, together with how transformations compose.</w:t>
      </w:r>
    </w:p>
    <w:p w14:paraId="107CC069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S1.2 Objects (mesoscopic molecular state classes)</w:t>
      </w:r>
    </w:p>
    <w:p w14:paraId="1CEE2F53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object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Obj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mesoscopic equivalence class of underlying microstates. We represent objects by</w:t>
      </w:r>
    </w:p>
    <w:p w14:paraId="789A38F3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A:=(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comp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s(A)),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F87AC2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22E420F9" w14:textId="77777777" w:rsidR="000E013B" w:rsidRPr="000E013B" w:rsidRDefault="000E013B" w:rsidP="000E0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comp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elemental composition,</w:t>
      </w:r>
    </w:p>
    <w:p w14:paraId="24D1AAE7" w14:textId="77777777" w:rsidR="000E013B" w:rsidRPr="000E013B" w:rsidRDefault="000E013B" w:rsidP="000E0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finite descriptor capturing coarse degrees of freedom relevant to admissible transformations.</w:t>
      </w:r>
    </w:p>
    <w:p w14:paraId="1A962D79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convenient descriptor decomposition is</w:t>
      </w:r>
    </w:p>
    <w:p w14:paraId="0E5B2E5C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s(A)=(q(A),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π(A),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ε(A),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χ(A),…),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B0E4A20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4E3E8B23" w14:textId="77777777" w:rsidR="000E013B" w:rsidRPr="000E013B" w:rsidRDefault="000E013B" w:rsidP="000E0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q(A)∈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net charge,</w:t>
      </w:r>
    </w:p>
    <w:p w14:paraId="506C8B91" w14:textId="77777777" w:rsidR="000E013B" w:rsidRPr="000E013B" w:rsidRDefault="000E013B" w:rsidP="000E0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π(A)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protonation / acid–base class (finite),</w:t>
      </w:r>
    </w:p>
    <w:p w14:paraId="6F3308F3" w14:textId="77777777" w:rsidR="000E013B" w:rsidRPr="000E013B" w:rsidRDefault="000E013B" w:rsidP="000E0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ε(A)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excitation / spin / electronic class (finite),</w:t>
      </w:r>
    </w:p>
    <w:p w14:paraId="13EB32DD" w14:textId="77777777" w:rsidR="000E013B" w:rsidRPr="000E013B" w:rsidRDefault="000E013B" w:rsidP="000E0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χ(A)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 redox-equivalence coordinate used for metrics or comparison (not an ontology claim).</w:t>
      </w:r>
    </w:p>
    <w:p w14:paraId="410B0102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S1.3 Morphisms (admissible transformations)</w:t>
      </w:r>
    </w:p>
    <w:p w14:paraId="5E327075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morphism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f:A→B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denotes a physically admissible transformation from object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 represent morphisms by</w:t>
      </w:r>
    </w:p>
    <w:p w14:paraId="50112453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f:=(τ(f),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s(f),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κ(f)),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CAB6C9A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177231BB" w14:textId="77777777" w:rsidR="000E013B" w:rsidRPr="000E013B" w:rsidRDefault="000E013B" w:rsidP="000E0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τ(f)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channel/type label (electron transfer, proton transfer, excitation, abstraction, recombination, covalent modification class, etc.),</w:t>
      </w:r>
    </w:p>
    <w:p w14:paraId="12EA87FC" w14:textId="77777777" w:rsidR="000E013B" w:rsidRPr="000E013B" w:rsidRDefault="000E013B" w:rsidP="000E0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s(f)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induced descriptor change,</w:t>
      </w:r>
    </w:p>
    <w:p w14:paraId="4A6F991A" w14:textId="77777777" w:rsidR="000E013B" w:rsidRPr="000E013B" w:rsidRDefault="000E013B" w:rsidP="000E0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κ(f)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an optional annotation (rate class, barrier class, catalyst dependence class).</w:t>
      </w:r>
    </w:p>
    <w:p w14:paraId="36514A05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S1.4 Admissibility axiom</w:t>
      </w:r>
    </w:p>
    <w:p w14:paraId="679177E8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Hom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adm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)⊆{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transformations consistent with quantum chemistry and thermodynamics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2B1F42B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particular, admissible morphisms respect conservation laws and permitted state transitions for the chosen descriptor resolution and domain assumptions (open/closed, coupling allowances).</w:t>
      </w:r>
    </w:p>
    <w:p w14:paraId="0FF0FD40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S1.5 Internal and external morphisms</w:t>
      </w:r>
    </w:p>
    <w:p w14:paraId="2B303BB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represent coupling to external degrees of freedom, allow morphisms of the form</w:t>
      </w:r>
    </w:p>
    <w:p w14:paraId="7470CA67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f:(A⊗X)→B,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611BE3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an external object class (e.g., photon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hν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metal ion class, field surrogate). Ordinary internal morphisms are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f:A→B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BB13EF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S1.6 Monoidal structure (sequential and parallel composition)</w:t>
      </w:r>
    </w:p>
    <w:p w14:paraId="50F86408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Sequential composition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g∘f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represents chaining of transformations. The tensor product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⊗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parallel composition:</w:t>
      </w:r>
    </w:p>
    <w:p w14:paraId="64226730" w14:textId="77777777" w:rsidR="000E013B" w:rsidRPr="000E013B" w:rsidRDefault="000E013B" w:rsidP="000E0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objects: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A⊗B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denotes joint presence in a composite local system.</w:t>
      </w:r>
    </w:p>
    <w:p w14:paraId="16DD85F0" w14:textId="77777777" w:rsidR="000E013B" w:rsidRPr="000E013B" w:rsidRDefault="000E013B" w:rsidP="000E0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morphisms: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:(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)→(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denotes independent concurrent transformations.</w:t>
      </w:r>
    </w:p>
    <w:p w14:paraId="4B68186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coherence isomorphisms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α,λ,ρ,σ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satisfy Mac Lane coherence.</w:t>
      </w:r>
    </w:p>
    <w:p w14:paraId="737E48C4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S1.7 Induced subgraphs and the CRM as an induced substructure</w:t>
      </w:r>
    </w:p>
    <w:p w14:paraId="4EBA7D5D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the typed directed graph induced by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nodes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Obj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edges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Hom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typed by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τ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6843DB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</w:t>
      </w:r>
      <w:r w:rsidRPr="000E01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Redox Module (CRM)</w:t>
      </w: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defined by selecting a working set of small-molecule objects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CRM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⊂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Obj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adm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taking the induced subgraph/subcategory containing those objects and morphisms between them:</w:t>
      </w:r>
    </w:p>
    <w:p w14:paraId="3200180E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CRM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adm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CRM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8A78F5A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induced structure is used for tractable analysis; it is not required to be exhaustive.</w:t>
      </w:r>
    </w:p>
    <w:p w14:paraId="5F33475C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S1.8 Optional: bounded occupancy semantics (population layer)</w:t>
      </w:r>
    </w:p>
    <w:p w14:paraId="4D45823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copy-number constraints are required, impose a bounded occupancy structure on a physical domain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For each object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(V)∈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 domain-relative maximum. Define the marking space</w:t>
      </w:r>
    </w:p>
    <w:p w14:paraId="7EA06F9C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A∈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Obj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adm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{0,1,…,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(V)}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BE69D65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marking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assigns a copy number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m(A)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each object. Each morphism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induces a stoichiometric update</w:t>
      </w:r>
    </w:p>
    <w:p w14:paraId="093110EC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m↦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clip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V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(m+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A62F07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ν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Obj</m:t>
            </m:r>
          </m:sup>
        </m:s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incidence vector and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clip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enforces bounds. This layer is optional and not required for the flux-based framework in Notes 2–4.</w:t>
      </w:r>
    </w:p>
    <w:p w14:paraId="00B10BE9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S1.9 Optional: descriptor-based path metrics</w:t>
      </w:r>
    </w:p>
    <w:p w14:paraId="23229FF8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descriptor components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u∈{q,π,ε,χ}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define a path metric over admissible transformation paths:</w:t>
      </w:r>
    </w:p>
    <w:p w14:paraId="025FBB06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(A,B)=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</m:t>
              </m:r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 xml:space="preserve">paths 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A→B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)∣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D969090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combined metric may be defined by weighted aggregation:</w:t>
      </w:r>
    </w:p>
    <w:p w14:paraId="0434A911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δ(A,B)=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q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q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π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π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ε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ε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χ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χ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3469B3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structural metrics on admissible transformation magnitude at the chosen resolution.</w:t>
      </w:r>
    </w:p>
    <w:p w14:paraId="76BEAC91" w14:textId="77777777" w:rsidR="000E013B" w:rsidRPr="000E013B" w:rsidRDefault="00E62045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04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C379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EF35AF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Supplemental Note 2. Flux-Weighted State and Structure–Function Mapping</w:t>
      </w:r>
    </w:p>
    <w:p w14:paraId="72EB298D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S2.1 Composite interaction graph</w:t>
      </w:r>
    </w:p>
    <w:p w14:paraId="42A6022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</w:t>
      </w:r>
    </w:p>
    <w:p w14:paraId="75AD7CA3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G=(V,E,s,t,τ)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B937DB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 finite typed directed graph representing the instantiated redox interaction network:</w:t>
      </w:r>
    </w:p>
    <w:p w14:paraId="0449A82D" w14:textId="77777777" w:rsidR="000E013B" w:rsidRPr="000E013B" w:rsidRDefault="000E013B" w:rsidP="000E0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molecular objects (nodes),</w:t>
      </w:r>
    </w:p>
    <w:p w14:paraId="18C574A8" w14:textId="77777777" w:rsidR="000E013B" w:rsidRPr="000E013B" w:rsidRDefault="000E013B" w:rsidP="000E0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admissible transformations (edges),</w:t>
      </w:r>
    </w:p>
    <w:p w14:paraId="6A190E3F" w14:textId="77777777" w:rsidR="000E013B" w:rsidRPr="000E013B" w:rsidRDefault="000E013B" w:rsidP="000E0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s,t:E→V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source/target maps,</w:t>
      </w:r>
    </w:p>
    <w:p w14:paraId="5E447016" w14:textId="77777777" w:rsidR="000E013B" w:rsidRPr="000E013B" w:rsidRDefault="000E013B" w:rsidP="000E0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τ:E→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edge-type map (channel type).</w:t>
      </w:r>
    </w:p>
    <w:p w14:paraId="028CD6BC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graph may be decomposed into induced subgraphs (e.g., CRM, MRM, redoxome) as required for analysis; the algebra below is defined 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irrespective of such partitions.</w:t>
      </w:r>
    </w:p>
    <w:p w14:paraId="70169C7F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S2.2 Flux weights (state on structure)</w:t>
      </w:r>
    </w:p>
    <w:p w14:paraId="2E7EA8CE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non-negative flux weight function</w:t>
      </w:r>
    </w:p>
    <w:p w14:paraId="4C1EAA32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ω:E→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≥0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F74255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ω(e)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effective throughput/occupancy of transformation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a specified observation window.</w:t>
      </w:r>
    </w:p>
    <w:p w14:paraId="35C87682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the incidence matrix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V×E</m:t>
            </m:r>
          </m:sup>
        </m:s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</w:t>
      </w:r>
    </w:p>
    <w:p w14:paraId="66772A26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v,e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+1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t(e)=v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-1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s(e)=v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>otherwise.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498D43E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net node imbalance is</w:t>
      </w:r>
    </w:p>
    <w:p w14:paraId="7612F93B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μ=Dω∈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0F03ACD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S2.3 Node attribute map</w:t>
      </w:r>
    </w:p>
    <w:p w14:paraId="2B0CB9BE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each node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v∈V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a vector of coarse physical attributes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q(v)∈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sup>
        </m:s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Collect these into a matrix</w:t>
      </w:r>
    </w:p>
    <w:p w14:paraId="223E7DC0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Q∈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p×V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26AEC6A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S2.4 Redox state as a projection of weighted structure</w:t>
      </w:r>
    </w:p>
    <w:p w14:paraId="6AFC8B2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global redox state vector as</w:t>
      </w:r>
    </w:p>
    <w:p w14:paraId="75733F8A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R=QDω∈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1599262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an induced subgraph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H⊆G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node-selection operator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define restricted operators</w:t>
      </w:r>
    </w:p>
    <w:p w14:paraId="4451A02E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=Q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⊤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A7AD1BE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 local state</w:t>
      </w:r>
    </w:p>
    <w:p w14:paraId="24CD0F03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9C5A746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S2.5 Modularity (projection consistency)</w:t>
      </w:r>
    </w:p>
    <w:p w14:paraId="5EAF29AE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H⊆K⊆G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then</w:t>
      </w:r>
    </w:p>
    <w:p w14:paraId="00DEDEB8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112D88B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local states are consistent restrictions of larger contexts.</w:t>
      </w:r>
    </w:p>
    <w:p w14:paraId="4B09F99B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S2.6 Structure–function mapping</w:t>
      </w:r>
    </w:p>
    <w:p w14:paraId="58B97B9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 space of biological observables and let</w:t>
      </w:r>
    </w:p>
    <w:p w14:paraId="5EC858DA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Read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→Y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7059815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an application-dependent readout map. Define</w:t>
      </w:r>
    </w:p>
    <w:p w14:paraId="3CA84541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Func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(G,ω,Q):=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Read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(QDω)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E75B079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provides a formal statement of how a flux-weighted configuration is mapped to observables.</w:t>
      </w:r>
    </w:p>
    <w:p w14:paraId="23FFCDFA" w14:textId="77777777" w:rsidR="000E013B" w:rsidRPr="000E013B" w:rsidRDefault="00E62045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04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CBFED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8DB641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Supplemental Note 3. Flux Dynamics on a Fixed Admissible Network</w:t>
      </w:r>
    </w:p>
    <w:p w14:paraId="0295AB91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S3.1 Time-dependent flux configuration</w:t>
      </w:r>
    </w:p>
    <w:p w14:paraId="42E385E2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G=(V,E,s,t,τ)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Q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fixed on the time scale considered. Dynamics are introduced by allowing flux weights to vary with time:</w:t>
      </w:r>
    </w:p>
    <w:p w14:paraId="2D940F63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:E→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≥0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,t∈[0,T]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41F231B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instantaneous redox state</w:t>
      </w:r>
    </w:p>
    <w:p w14:paraId="599289FD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=QD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5C49E2D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for induced subgraphs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H⊆G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2F51A6F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003F85A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S3.2 Admissible flux space</w:t>
      </w:r>
    </w:p>
    <w:p w14:paraId="435B815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⊆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≥0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p>
        </m:sSub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denote the admissible flux region defined by problem-specific constraints (e.g., non-negativity, boundedness, conservation/stoichiometric constraints, capacity constraints). Then</w:t>
      </w:r>
    </w:p>
    <w:p w14:paraId="287DCEFB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Ω∀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D7A4DFE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S3.3 Evolution law</w:t>
      </w:r>
    </w:p>
    <w:p w14:paraId="580F0F2B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general evolution law on flux weights:</w:t>
      </w:r>
    </w:p>
    <w:p w14:paraId="54C5D53D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4925F39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3E5BF449" w14:textId="77777777" w:rsidR="000E013B" w:rsidRPr="000E013B" w:rsidRDefault="000E013B" w:rsidP="000E0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F: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×U×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p>
        </m:s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vector field,</w:t>
      </w:r>
    </w:p>
    <w:p w14:paraId="68B7618B" w14:textId="77777777" w:rsidR="000E013B" w:rsidRPr="000E013B" w:rsidRDefault="000E013B" w:rsidP="000E0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∈U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time-dependent inputs (boundary conditions, resource levels, perturbations, regulatory signals),</w:t>
      </w:r>
    </w:p>
    <w:p w14:paraId="5E260735" w14:textId="77777777" w:rsidR="000E013B" w:rsidRPr="000E013B" w:rsidRDefault="000E013B" w:rsidP="000E0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Θ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fixed parameters (enzyme/capacity classes, compartment constraints).</w:t>
      </w:r>
    </w:p>
    <w:p w14:paraId="73EF63CD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S3.4 Well-posedness and invariance</w:t>
      </w:r>
    </w:p>
    <w:p w14:paraId="41D4B0B9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Assume standard conditions sufficient for existence of solutions (e.g., Carathéodory conditions; local Lipschitz in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and </w:t>
      </w:r>
      <w:r w:rsidRPr="000E01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forward invariance of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8C8FC9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⟹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for 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t∈[0,T]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674DF0D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S3.5 Induced state dynamics</w:t>
      </w:r>
    </w:p>
    <w:p w14:paraId="4C9D9EB5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induced dynamics in state space follow directly:</w:t>
      </w:r>
    </w:p>
    <w:p w14:paraId="55DE6D4E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=QD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=QD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1142439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S3.6 Time-dependent readout</w:t>
      </w:r>
    </w:p>
    <w:p w14:paraId="0CBE8536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Read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: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→Y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define</w:t>
      </w:r>
    </w:p>
    <w:p w14:paraId="04092EAE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Read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F50765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when differentiable,</w:t>
      </w:r>
    </w:p>
    <w:p w14:paraId="7CD7E899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Read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2033A6F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S3.7 Optional: control structure and non-holonomic constraints</w:t>
      </w:r>
    </w:p>
    <w:p w14:paraId="50E569BF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Interpreting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controls yields a controlled dynamical system 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Modules such as enzymatic constraints act by restricting the allowable directions of motion 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(accessible variations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without altering the admissible edge set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may be expressed as a constraint distribution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D(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ω)⊆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ω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such that</w:t>
      </w:r>
    </w:p>
    <w:p w14:paraId="0C16B1CA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∈D(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DAF3DFD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assumption is made that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integrable.</w:t>
      </w:r>
    </w:p>
    <w:p w14:paraId="26EA082D" w14:textId="77777777" w:rsidR="000E013B" w:rsidRPr="000E013B" w:rsidRDefault="00E62045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04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6517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486416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Supplemental Note 4. Spatial Embedding and Reaction–Transport Formulation</w:t>
      </w:r>
    </w:p>
    <w:p w14:paraId="2334939C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S4.1 Spatial domain and local systems</w:t>
      </w:r>
    </w:p>
    <w:p w14:paraId="330F85A4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⊂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3</m:t>
            </m:r>
          </m:sup>
        </m:s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a bounded biological domain. For each spatial location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define a local interaction graph and attributes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G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x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x</m:t>
                </m:r>
              </m:sub>
            </m:sSub>
          </m:e>
        </m:d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a time-dependent local flux configuration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ω(x,t)∈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⊆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≥0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x</m:t>
                </m:r>
              </m:sub>
            </m:sSub>
          </m:sup>
        </m:sSubSup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86A05E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S4.2 Local redox state</w:t>
      </w:r>
    </w:p>
    <w:p w14:paraId="48C3346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the local redox state vector</w:t>
      </w:r>
    </w:p>
    <w:p w14:paraId="03BE2FCF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R(x,t)=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ω(x,t)∈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23CCA4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incidence matrix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sub>
        </m:sSub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27DFFA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S4.3 Reaction–transport coupling</w:t>
      </w:r>
    </w:p>
    <w:p w14:paraId="51C854C8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J(x,t)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denote a transport flux associated with spatial coupling of redox state. A standard constitutive form is</w:t>
      </w:r>
    </w:p>
    <w:p w14:paraId="0D696A21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J(x,t)=-κ(x)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R(x,t),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01935ED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κ(x)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(possibly anisotropic) transport tensor encoding effective diffusion/conductance.</w:t>
      </w:r>
    </w:p>
    <w:p w14:paraId="023698F2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S4.4 Field equation</w:t>
      </w:r>
    </w:p>
    <w:p w14:paraId="03963936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the local flux dynamics be governed by a local vector field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in Supplemental Note 3:</w:t>
      </w:r>
    </w:p>
    <w:p w14:paraId="351D7010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ω(x,t)=F(ω(x,t),μ(x,t),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(x))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560DD1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induced state dynamics satisfy</w:t>
      </w:r>
    </w:p>
    <w:p w14:paraId="300D9D68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R(x,t)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F(ω(x,t),μ(x,t),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(x))-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⋅J(x,t)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55C7C85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reaction–transport (reaction–diffusion as a special case) formulation driven by local flux reweighting and spatial coupling.</w:t>
      </w:r>
    </w:p>
    <w:p w14:paraId="1821B6B6" w14:textId="77777777" w:rsidR="000E013B" w:rsidRPr="000E013B" w:rsidRDefault="000E013B" w:rsidP="000E0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S4.5 Field representation</w:t>
      </w:r>
    </w:p>
    <w:p w14:paraId="606B2707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spatially distributed system defines a mapping</w:t>
      </w:r>
    </w:p>
    <w:p w14:paraId="09C51941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(x,t)↦ω(x,t),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96680B1" w14:textId="77777777" w:rsidR="000E013B" w:rsidRP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equivalently</w:t>
      </w:r>
    </w:p>
    <w:p w14:paraId="1C63FB57" w14:textId="77777777" w:rsidR="000E013B" w:rsidRPr="000E013B" w:rsidRDefault="000E013B" w:rsidP="000E01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(x,t)↦R(x,t),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2AE07CE" w14:textId="77777777" w:rsidR="000E013B" w:rsidRDefault="000E013B" w:rsidP="000E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transport coupling determined by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κ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boundary conditions 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0E01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79BB32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Supplemental Note 5</w:t>
      </w:r>
    </w:p>
    <w:p w14:paraId="440F52B1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Trajectory Dependence, Curvature, and Hysteresis</w:t>
      </w:r>
    </w:p>
    <w:p w14:paraId="1AE42EDD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S5.1 Admissible flux space</w:t>
      </w:r>
    </w:p>
    <w:p w14:paraId="3EE6909A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G=(V,E,s,t,τ)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fixed. Define the admissible flux region</w:t>
      </w:r>
    </w:p>
    <w:p w14:paraId="2E464641" w14:textId="77777777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={ω∈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≥0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:C(ω)=0,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B(ω)≤0},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901EB14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</w:t>
      </w:r>
    </w:p>
    <w:p w14:paraId="39A43256" w14:textId="77777777" w:rsidR="00C962EF" w:rsidRPr="00C962EF" w:rsidRDefault="00C962EF" w:rsidP="00C96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C(ω)=0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encodes equality constraints (e.g. conservation or steady-state conditions),</w:t>
      </w:r>
    </w:p>
    <w:p w14:paraId="6B2BDF70" w14:textId="77777777" w:rsidR="00C962EF" w:rsidRPr="00C962EF" w:rsidRDefault="00C962EF" w:rsidP="00C96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B(ω)≤0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encodes inequality constraints (e.g. boundedness, capacity limits).</w:t>
      </w:r>
    </w:p>
    <w:p w14:paraId="0D27AF7F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assume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forward invariant under the dynamics.</w:t>
      </w:r>
    </w:p>
    <w:p w14:paraId="46844C84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flux trajectory is a continuous map</w:t>
      </w:r>
    </w:p>
    <w:p w14:paraId="0A2F9A35" w14:textId="0EA0BBB8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ω:[0,T]→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F3BA6FD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S5.2 Extended state and non-Markovian flux dynamics</w:t>
      </w:r>
    </w:p>
    <w:p w14:paraId="0E82198C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the augmented state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(ω(t),κ(t))∈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×K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where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κ(t)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a geometric memory variable.</w:t>
      </w:r>
    </w:p>
    <w:p w14:paraId="301AB6F9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coupled dynamics are</w:t>
      </w:r>
    </w:p>
    <w:p w14:paraId="0BEA4142" w14:textId="77777777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ω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(t)=F(ω(t),μ(t),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;κ(t)),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κ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(t)=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(κ(t),ω(t))-λκ(t),λ≥0.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4D62970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is Markovian in the augmented state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ω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κ</m:t>
            </m:r>
          </m:e>
        </m:d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marginal process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alone is non-Markovian whenever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Ψ≠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DA9207" w14:textId="3593C704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parameter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λ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curvature relaxation rate.</w:t>
      </w: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-1</m:t>
            </m:r>
          </m:sup>
        </m:sSup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characteristic memory timescale.</w:t>
      </w:r>
    </w:p>
    <w:p w14:paraId="7E20D40E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S5.3 Geometric interpretation of curvature</w:t>
      </w:r>
    </w:p>
    <w:p w14:paraId="4C742228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variable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κ∈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modifies accessibility in flux space without altering the admissible edge set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4F4927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Admissible realisations include:</w:t>
      </w:r>
    </w:p>
    <w:p w14:paraId="62B610DE" w14:textId="77777777" w:rsidR="00C962EF" w:rsidRPr="00C962EF" w:rsidRDefault="00C962EF" w:rsidP="00C96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time-dependent Riemannian metric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B1FB39" w14:textId="77777777" w:rsidR="00C962EF" w:rsidRPr="00C962EF" w:rsidRDefault="00C962EF" w:rsidP="00C96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connection on the flux-weight simplex.</w:t>
      </w:r>
    </w:p>
    <w:p w14:paraId="2FFFAD19" w14:textId="77777777" w:rsidR="00C962EF" w:rsidRPr="00C962EF" w:rsidRDefault="00C962EF" w:rsidP="00C96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curvature operator derived from a weighted graph Laplacian.</w:t>
      </w:r>
    </w:p>
    <w:p w14:paraId="7EA0676D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metric formulation:</w:t>
      </w:r>
    </w:p>
    <w:p w14:paraId="6AACCE82" w14:textId="77777777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g(t)=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+κ(t),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27B527B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curvature is the curvature tensor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g(t)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B17CB6" w14:textId="1F4B30ED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new objects or morphisms are introduced.</w:t>
      </w: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Curvature deforms trajectory accessibility within the fixed admissible state space.</w:t>
      </w:r>
    </w:p>
    <w:p w14:paraId="2E0A3C97" w14:textId="77777777" w:rsidR="00C962EF" w:rsidRPr="00C962EF" w:rsidRDefault="00C962EF" w:rsidP="00C9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S5.4 Hysteresis</w:t>
      </w:r>
    </w:p>
    <w:p w14:paraId="59C34AF7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an input protocol satisfying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μ(0)=μ(T)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1FC4F7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Hysteresis occurs if</w:t>
      </w:r>
    </w:p>
    <w:p w14:paraId="41D40C66" w14:textId="77777777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ω(T)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ω(0),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EEC88A2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equivalently for the projected redox state</w:t>
      </w:r>
    </w:p>
    <w:p w14:paraId="5342980D" w14:textId="77777777" w:rsidR="00C962EF" w:rsidRPr="00C962EF" w:rsidRDefault="00C962EF" w:rsidP="00C96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R(T)=QDω(T)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QDω(0)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CD00576" w14:textId="77777777" w:rsidR="00C962EF" w:rsidRPr="00C962EF" w:rsidRDefault="00C962EF" w:rsidP="00C9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λ&gt;0</m:t>
        </m:r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hysteresis magnitude depends on the ratio between trajectory duration and memory decay timescale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-1</m:t>
            </m:r>
          </m:sup>
        </m:sSup>
      </m:oMath>
      <w:r w:rsidRPr="00C962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BFF273" w14:textId="77777777" w:rsidR="000E013B" w:rsidRDefault="000E013B"/>
    <w:sectPr w:rsidR="000E0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2E1"/>
    <w:multiLevelType w:val="multilevel"/>
    <w:tmpl w:val="534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735E"/>
    <w:multiLevelType w:val="multilevel"/>
    <w:tmpl w:val="3022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25467"/>
    <w:multiLevelType w:val="multilevel"/>
    <w:tmpl w:val="850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6A86"/>
    <w:multiLevelType w:val="multilevel"/>
    <w:tmpl w:val="BA0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4093B"/>
    <w:multiLevelType w:val="multilevel"/>
    <w:tmpl w:val="9B8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31284"/>
    <w:multiLevelType w:val="multilevel"/>
    <w:tmpl w:val="0FB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678BE"/>
    <w:multiLevelType w:val="multilevel"/>
    <w:tmpl w:val="C70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A6835"/>
    <w:multiLevelType w:val="multilevel"/>
    <w:tmpl w:val="027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22C55"/>
    <w:multiLevelType w:val="multilevel"/>
    <w:tmpl w:val="EAE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2777">
    <w:abstractNumId w:val="8"/>
  </w:num>
  <w:num w:numId="2" w16cid:durableId="1166900128">
    <w:abstractNumId w:val="5"/>
  </w:num>
  <w:num w:numId="3" w16cid:durableId="448937987">
    <w:abstractNumId w:val="6"/>
  </w:num>
  <w:num w:numId="4" w16cid:durableId="1187594021">
    <w:abstractNumId w:val="7"/>
  </w:num>
  <w:num w:numId="5" w16cid:durableId="654844725">
    <w:abstractNumId w:val="0"/>
  </w:num>
  <w:num w:numId="6" w16cid:durableId="647638100">
    <w:abstractNumId w:val="3"/>
  </w:num>
  <w:num w:numId="7" w16cid:durableId="1210191054">
    <w:abstractNumId w:val="2"/>
  </w:num>
  <w:num w:numId="8" w16cid:durableId="1504861514">
    <w:abstractNumId w:val="4"/>
  </w:num>
  <w:num w:numId="9" w16cid:durableId="88980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3B"/>
    <w:rsid w:val="000E013B"/>
    <w:rsid w:val="005E43D5"/>
    <w:rsid w:val="008E01A9"/>
    <w:rsid w:val="00C962EF"/>
    <w:rsid w:val="00CF0E11"/>
    <w:rsid w:val="00E6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1FFD"/>
  <w15:chartTrackingRefBased/>
  <w15:docId w15:val="{6368CE22-36BF-2E49-BB5D-7EF15B54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0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Cobley</dc:creator>
  <cp:keywords/>
  <dc:description/>
  <cp:lastModifiedBy>James Cobley</cp:lastModifiedBy>
  <cp:revision>4</cp:revision>
  <dcterms:created xsi:type="dcterms:W3CDTF">2026-02-13T23:06:00Z</dcterms:created>
  <dcterms:modified xsi:type="dcterms:W3CDTF">2026-02-14T09:23:00Z</dcterms:modified>
</cp:coreProperties>
</file>