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2664" w14:textId="77777777" w:rsidR="00894447" w:rsidRDefault="00894447" w:rsidP="00412AC5">
      <w:pPr>
        <w:spacing w:after="0" w:line="360" w:lineRule="auto"/>
        <w:jc w:val="center"/>
        <w:rPr>
          <w:b/>
        </w:rPr>
      </w:pPr>
      <w:r w:rsidRPr="00894447">
        <w:rPr>
          <w:b/>
        </w:rPr>
        <w:t>Business Analysis for Investment (FNCE2003)</w:t>
      </w:r>
    </w:p>
    <w:p w14:paraId="685B5DA1" w14:textId="67736373" w:rsidR="008E7043" w:rsidRDefault="008E7043" w:rsidP="00412AC5">
      <w:pPr>
        <w:spacing w:after="0" w:line="360" w:lineRule="auto"/>
        <w:jc w:val="center"/>
        <w:rPr>
          <w:b/>
        </w:rPr>
      </w:pPr>
      <w:r w:rsidRPr="008E7043">
        <w:rPr>
          <w:b/>
        </w:rPr>
        <w:t xml:space="preserve">Tutorial </w:t>
      </w:r>
      <w:r w:rsidR="00CD56AF">
        <w:rPr>
          <w:b/>
        </w:rPr>
        <w:t>Solution</w:t>
      </w:r>
    </w:p>
    <w:p w14:paraId="101E78C3" w14:textId="67154564" w:rsidR="00412AC5" w:rsidRDefault="00DB3AE4" w:rsidP="00412AC5">
      <w:pPr>
        <w:spacing w:after="0" w:line="360" w:lineRule="auto"/>
        <w:jc w:val="center"/>
        <w:rPr>
          <w:b/>
        </w:rPr>
      </w:pPr>
      <w:r w:rsidRPr="00DB3AE4">
        <w:rPr>
          <w:b/>
        </w:rPr>
        <w:t>M</w:t>
      </w:r>
      <w:r w:rsidRPr="00DB3AE4">
        <w:rPr>
          <w:rFonts w:asciiTheme="minorEastAsia" w:eastAsiaTheme="minorEastAsia" w:hAnsiTheme="minorEastAsia"/>
          <w:b/>
          <w:lang w:eastAsia="zh-CN"/>
        </w:rPr>
        <w:t>odule</w:t>
      </w:r>
      <w:r w:rsidR="00412AC5">
        <w:rPr>
          <w:b/>
        </w:rPr>
        <w:t xml:space="preserve"> 1</w:t>
      </w:r>
      <w:r>
        <w:rPr>
          <w:b/>
        </w:rPr>
        <w:t>: Introduction</w:t>
      </w:r>
    </w:p>
    <w:p w14:paraId="4EEC6E38" w14:textId="77777777" w:rsidR="00E74665" w:rsidRDefault="00E74665" w:rsidP="008E7043">
      <w:pPr>
        <w:rPr>
          <w:b/>
        </w:rPr>
      </w:pPr>
    </w:p>
    <w:p w14:paraId="40504268" w14:textId="77777777" w:rsidR="00566EA7" w:rsidRPr="00864C40" w:rsidRDefault="00566EA7" w:rsidP="008E7043">
      <w:pPr>
        <w:rPr>
          <w:b/>
        </w:rPr>
      </w:pPr>
      <w:r w:rsidRPr="00C30DF3">
        <w:rPr>
          <w:b/>
        </w:rPr>
        <w:t>Question 1: Differentiate between profit and cash flow.</w:t>
      </w:r>
    </w:p>
    <w:p w14:paraId="30548FB8" w14:textId="64CAC64B" w:rsidR="000931FF" w:rsidRPr="009175F9" w:rsidRDefault="004D3FE4" w:rsidP="004D3FE4">
      <w:pPr>
        <w:jc w:val="both"/>
        <w:rPr>
          <w:b/>
          <w:u w:val="single"/>
        </w:rPr>
      </w:pPr>
      <w:r w:rsidRPr="009175F9">
        <w:rPr>
          <w:b/>
          <w:u w:val="single"/>
        </w:rPr>
        <w:t>Answer:</w:t>
      </w:r>
    </w:p>
    <w:p w14:paraId="55061119" w14:textId="2D7BEF12" w:rsidR="004D3FE4" w:rsidRPr="00864C40" w:rsidRDefault="004D3FE4" w:rsidP="004D3FE4">
      <w:pPr>
        <w:jc w:val="both"/>
      </w:pPr>
      <w:r w:rsidRPr="00864C40">
        <w:t xml:space="preserve">Profit and cash flow are not equivalent. Cash flow </w:t>
      </w:r>
      <w:r w:rsidR="00161AE7" w:rsidRPr="00864C40">
        <w:t xml:space="preserve">reflects </w:t>
      </w:r>
      <w:r w:rsidRPr="00864C40">
        <w:t xml:space="preserve">cash receipts </w:t>
      </w:r>
      <w:r w:rsidR="00161AE7" w:rsidRPr="00864C40">
        <w:t xml:space="preserve">(inflow) </w:t>
      </w:r>
      <w:r w:rsidRPr="00864C40">
        <w:t>and cash disbursements</w:t>
      </w:r>
      <w:r w:rsidR="00161AE7" w:rsidRPr="00864C40">
        <w:t xml:space="preserve"> (outflow)</w:t>
      </w:r>
      <w:r w:rsidRPr="00864C40">
        <w:t xml:space="preserve">. For example, </w:t>
      </w:r>
      <w:r w:rsidR="00161AE7" w:rsidRPr="00864C40">
        <w:t xml:space="preserve">net operating cash flow of a firm is the </w:t>
      </w:r>
      <w:r w:rsidRPr="00864C40">
        <w:t xml:space="preserve">difference between cash </w:t>
      </w:r>
      <w:r w:rsidR="00161AE7" w:rsidRPr="00864C40">
        <w:t>in</w:t>
      </w:r>
      <w:r w:rsidRPr="00864C40">
        <w:t xml:space="preserve">flow from operations and cash </w:t>
      </w:r>
      <w:r w:rsidR="00161AE7" w:rsidRPr="00864C40">
        <w:t xml:space="preserve">outflow incurred for operating expenses. </w:t>
      </w:r>
      <w:r w:rsidRPr="00864C40">
        <w:t xml:space="preserve">Profit (or loss) represents the difference between the prices at which goods or services are provided to customers and the expenses incurred to provide those goods and services. In addition, profit (loss) includes other income (such as investing income or income from the sale of items other than goods and services) minus the expenses incurred to earn that income. </w:t>
      </w:r>
      <w:r w:rsidR="00161AE7" w:rsidRPr="00864C40">
        <w:t>Profit is generally recorded when the sale is made and cash flow is recorded when the money is actually received</w:t>
      </w:r>
      <w:r w:rsidR="00FD454C">
        <w:t>/paid</w:t>
      </w:r>
      <w:r w:rsidR="00161AE7" w:rsidRPr="00864C40">
        <w:t xml:space="preserve">. </w:t>
      </w:r>
      <w:r w:rsidRPr="00864C40">
        <w:t>Overall, profit (or loss) equals income minus expenses, and its recognition is mostly independent from when cash is received or paid.</w:t>
      </w:r>
    </w:p>
    <w:p w14:paraId="2DD253EA" w14:textId="77777777" w:rsidR="00161AE7" w:rsidRPr="00864C40" w:rsidRDefault="00161AE7" w:rsidP="008E7043">
      <w:pPr>
        <w:rPr>
          <w:b/>
        </w:rPr>
      </w:pPr>
    </w:p>
    <w:p w14:paraId="62105670" w14:textId="77777777" w:rsidR="00566EA7" w:rsidRDefault="00566EA7" w:rsidP="008E7043">
      <w:pPr>
        <w:rPr>
          <w:b/>
        </w:rPr>
      </w:pPr>
      <w:r w:rsidRPr="00C30DF3">
        <w:rPr>
          <w:b/>
        </w:rPr>
        <w:t>Question 2: Profit versus cash flow</w:t>
      </w:r>
    </w:p>
    <w:p w14:paraId="68139AA7" w14:textId="6F6C9BA5" w:rsidR="001E3716" w:rsidRPr="00205F2E" w:rsidRDefault="001E3716" w:rsidP="00205F2E">
      <w:pPr>
        <w:jc w:val="both"/>
      </w:pPr>
      <w:r w:rsidRPr="00205F2E">
        <w:t>Mixon Computer (MC) sells computer on a retail basis. MC began operations during October 2015 and sold computer for $300,000 in cash. Bird Corporation (BC) and Apple Corporation (AC) are two suppliers for MC. The computer</w:t>
      </w:r>
      <w:r w:rsidR="00C2579F" w:rsidRPr="00205F2E">
        <w:t>s</w:t>
      </w:r>
      <w:r w:rsidRPr="00205F2E">
        <w:t xml:space="preserve"> sold by MC was purchased on credit </w:t>
      </w:r>
      <w:r w:rsidR="00C2579F" w:rsidRPr="00205F2E">
        <w:t>for $1</w:t>
      </w:r>
      <w:r w:rsidR="00EB07FE" w:rsidRPr="00205F2E">
        <w:t>20</w:t>
      </w:r>
      <w:r w:rsidR="00C2579F" w:rsidRPr="00205F2E">
        <w:t>,000 and $</w:t>
      </w:r>
      <w:r w:rsidR="00EB07FE" w:rsidRPr="00205F2E">
        <w:t>80</w:t>
      </w:r>
      <w:r w:rsidR="00C2579F" w:rsidRPr="00205F2E">
        <w:t>,000 from</w:t>
      </w:r>
      <w:r w:rsidRPr="00205F2E">
        <w:t xml:space="preserve"> BC and AC during October, respectively.</w:t>
      </w:r>
      <w:r w:rsidR="00C2579F" w:rsidRPr="00205F2E">
        <w:t xml:space="preserve"> The credit terms granted by the suppliers required MC to pay the full amount in November for the computer it received during October. In addition to th</w:t>
      </w:r>
      <w:r w:rsidR="00EB07FE" w:rsidRPr="00205F2E">
        <w:t xml:space="preserve">e purchase and sale of computer, </w:t>
      </w:r>
      <w:r w:rsidR="00C2579F" w:rsidRPr="00205F2E">
        <w:t>in October, MC paid $</w:t>
      </w:r>
      <w:r w:rsidR="00EB07FE" w:rsidRPr="00205F2E">
        <w:t>2</w:t>
      </w:r>
      <w:r w:rsidR="00C2579F" w:rsidRPr="00205F2E">
        <w:t xml:space="preserve">0,000 in cash for rent and salaries, </w:t>
      </w:r>
      <w:r w:rsidR="00EB07FE" w:rsidRPr="00205F2E">
        <w:t xml:space="preserve">$10,000 for renovation expenses and </w:t>
      </w:r>
      <w:r w:rsidR="00C2579F" w:rsidRPr="00205F2E">
        <w:t>$5,000</w:t>
      </w:r>
      <w:r w:rsidR="00EB07FE" w:rsidRPr="00205F2E">
        <w:t xml:space="preserve"> for utilities bills.</w:t>
      </w:r>
    </w:p>
    <w:p w14:paraId="349BF2F6" w14:textId="0C6584C3" w:rsidR="00EB07FE" w:rsidRPr="00205F2E" w:rsidRDefault="00EB07FE" w:rsidP="00205F2E">
      <w:pPr>
        <w:pStyle w:val="ListParagraph"/>
        <w:numPr>
          <w:ilvl w:val="0"/>
          <w:numId w:val="2"/>
        </w:numPr>
        <w:jc w:val="both"/>
      </w:pPr>
      <w:r w:rsidRPr="00205F2E">
        <w:t>How much is MC’s profit for October 2015 if no other transactions occurred?</w:t>
      </w:r>
    </w:p>
    <w:p w14:paraId="2DA2E856" w14:textId="04AFF2DB" w:rsidR="00EB07FE" w:rsidRPr="00205F2E" w:rsidRDefault="00EB07FE" w:rsidP="00205F2E">
      <w:pPr>
        <w:pStyle w:val="ListParagraph"/>
        <w:numPr>
          <w:ilvl w:val="0"/>
          <w:numId w:val="2"/>
        </w:numPr>
        <w:jc w:val="both"/>
      </w:pPr>
      <w:r w:rsidRPr="00205F2E">
        <w:t>How much is MC’s cash flow for October 2015?</w:t>
      </w:r>
    </w:p>
    <w:p w14:paraId="7A680C62" w14:textId="792442D5" w:rsidR="00EB07FE" w:rsidRPr="00205F2E" w:rsidRDefault="00EB07FE" w:rsidP="00205F2E">
      <w:pPr>
        <w:pStyle w:val="ListParagraph"/>
        <w:numPr>
          <w:ilvl w:val="0"/>
          <w:numId w:val="2"/>
        </w:numPr>
        <w:jc w:val="both"/>
      </w:pPr>
      <w:r w:rsidRPr="00205F2E">
        <w:t>If MC purchases and sells exactly the same amount in November</w:t>
      </w:r>
      <w:r w:rsidR="00753B6B">
        <w:t xml:space="preserve"> and paid similar operating expenses</w:t>
      </w:r>
      <w:r w:rsidRPr="00205F2E">
        <w:t xml:space="preserve"> as it did in October and under the same terms (receiving cash for the sales and making purchases on credit from BC and AC that will be due in December), how much will the company’s profit and cash flow be for the month of November?</w:t>
      </w:r>
    </w:p>
    <w:p w14:paraId="4BCEED79" w14:textId="64D938CA" w:rsidR="00D71908" w:rsidRPr="009175F9" w:rsidRDefault="00D71908" w:rsidP="00753B6B">
      <w:pPr>
        <w:jc w:val="both"/>
        <w:rPr>
          <w:b/>
          <w:u w:val="single"/>
        </w:rPr>
      </w:pPr>
      <w:r w:rsidRPr="009175F9">
        <w:rPr>
          <w:b/>
          <w:u w:val="single"/>
        </w:rPr>
        <w:t>Answer:</w:t>
      </w:r>
    </w:p>
    <w:p w14:paraId="3470C242" w14:textId="50DD80F1" w:rsidR="00D71908" w:rsidRPr="00753B6B" w:rsidRDefault="00D71908" w:rsidP="00753B6B">
      <w:pPr>
        <w:pStyle w:val="ListParagraph"/>
        <w:numPr>
          <w:ilvl w:val="0"/>
          <w:numId w:val="3"/>
        </w:numPr>
        <w:jc w:val="both"/>
      </w:pPr>
      <w:r w:rsidRPr="00753B6B">
        <w:t xml:space="preserve">MC’s profit for October 2015 is the excess of the sales price ($300,000) over the cost of the goods that were sold ($120,000 +$80,000=$200,000) ,rent and salaries ($20,000), renovation </w:t>
      </w:r>
      <w:r w:rsidR="00D50D75" w:rsidRPr="00753B6B">
        <w:t xml:space="preserve">expenses </w:t>
      </w:r>
      <w:r w:rsidRPr="00753B6B">
        <w:t>($10,000) and utilities bills ($5,000)</w:t>
      </w:r>
      <w:r w:rsidR="00D604E5" w:rsidRPr="00753B6B">
        <w:t xml:space="preserve">, or </w:t>
      </w:r>
      <w:r w:rsidR="00D50D75" w:rsidRPr="00753B6B">
        <w:t>$65,000</w:t>
      </w:r>
    </w:p>
    <w:p w14:paraId="7E2DEF38" w14:textId="11B31E40" w:rsidR="00D50D75" w:rsidRPr="00753B6B" w:rsidRDefault="00D50D75" w:rsidP="00753B6B">
      <w:pPr>
        <w:pStyle w:val="ListParagraph"/>
        <w:numPr>
          <w:ilvl w:val="0"/>
          <w:numId w:val="3"/>
        </w:numPr>
        <w:jc w:val="both"/>
      </w:pPr>
      <w:r w:rsidRPr="00753B6B">
        <w:t>The October 2015 cash flow is $265,000, the amount of cash received from the customer ($300,000) less the cash paid for rent and salaries ($20,000), renovation expenses ($10,000) and utilities bills ($5,000)</w:t>
      </w:r>
    </w:p>
    <w:p w14:paraId="355374B3" w14:textId="77777777" w:rsidR="00753B6B" w:rsidRPr="00492DC1" w:rsidRDefault="00D50D75" w:rsidP="008E7043">
      <w:pPr>
        <w:pStyle w:val="ListParagraph"/>
        <w:numPr>
          <w:ilvl w:val="0"/>
          <w:numId w:val="3"/>
        </w:numPr>
      </w:pPr>
      <w:r w:rsidRPr="00492DC1">
        <w:t>MC’</w:t>
      </w:r>
      <w:r w:rsidR="00D604E5" w:rsidRPr="00492DC1">
        <w:t xml:space="preserve">S profit for November </w:t>
      </w:r>
      <w:r w:rsidRPr="00492DC1">
        <w:t>will be identic</w:t>
      </w:r>
      <w:r w:rsidR="00D604E5" w:rsidRPr="00492DC1">
        <w:t xml:space="preserve">al to its profit in October: $65,000, calculated as the sale price ($300,000) minus the cost of the goods that were sold ($120,000 +$80,000=$200,000), rent and salaries ($20,000), renovation expenses ($10,000) and utilities bills ($5,000). </w:t>
      </w:r>
    </w:p>
    <w:p w14:paraId="14E8F9B5" w14:textId="5DB0BC42" w:rsidR="00F208A3" w:rsidRDefault="00D604E5" w:rsidP="00753B6B">
      <w:pPr>
        <w:pStyle w:val="ListParagraph"/>
        <w:ind w:firstLine="720"/>
        <w:jc w:val="both"/>
      </w:pPr>
      <w:r w:rsidRPr="00753B6B">
        <w:lastRenderedPageBreak/>
        <w:t>MC</w:t>
      </w:r>
      <w:r w:rsidR="00F67DA0" w:rsidRPr="00753B6B">
        <w:t>’s cash flow in November will also equal $65,000 , calculated as the amount of cash received from the customer ($300,000) minus the cash paid for rent and salaries ($20,000), renovation expenses ($10,000), utilities bills ($5,000) and minus the $200,000 ($120,000 +$80,000) that MC owes for the goods it had purchased on credit in the prior month.</w:t>
      </w:r>
    </w:p>
    <w:p w14:paraId="2FD76387" w14:textId="77777777" w:rsidR="00753B6B" w:rsidRDefault="00753B6B" w:rsidP="00753B6B">
      <w:pPr>
        <w:pStyle w:val="ListParagraph"/>
        <w:ind w:firstLine="720"/>
        <w:jc w:val="both"/>
      </w:pPr>
    </w:p>
    <w:p w14:paraId="54208685" w14:textId="77777777" w:rsidR="006925DA" w:rsidRPr="00753B6B" w:rsidRDefault="006925DA" w:rsidP="00753B6B">
      <w:pPr>
        <w:pStyle w:val="ListParagraph"/>
        <w:ind w:firstLine="720"/>
        <w:jc w:val="both"/>
      </w:pPr>
    </w:p>
    <w:p w14:paraId="48C04FCC" w14:textId="77777777" w:rsidR="00F208A3" w:rsidRPr="00762577" w:rsidRDefault="00F208A3" w:rsidP="00762577">
      <w:pPr>
        <w:jc w:val="both"/>
        <w:rPr>
          <w:b/>
        </w:rPr>
      </w:pPr>
      <w:r w:rsidRPr="00762577">
        <w:rPr>
          <w:b/>
        </w:rPr>
        <w:t>Question 3: Use of Balance sheet to evaluate a company</w:t>
      </w:r>
    </w:p>
    <w:p w14:paraId="14C2240C" w14:textId="6ACA237B" w:rsidR="009A34F5" w:rsidRPr="007C22F1" w:rsidRDefault="007C22F1" w:rsidP="007C22F1">
      <w:pPr>
        <w:rPr>
          <w:rFonts w:cs="Times New Roman"/>
          <w:sz w:val="24"/>
          <w:szCs w:val="24"/>
        </w:rPr>
      </w:pPr>
      <w:r w:rsidRPr="00E10E60">
        <w:rPr>
          <w:rFonts w:cs="Times New Roman"/>
          <w:sz w:val="24"/>
          <w:szCs w:val="24"/>
        </w:rPr>
        <w:t xml:space="preserve">Use </w:t>
      </w:r>
      <w:r>
        <w:rPr>
          <w:rFonts w:cs="Times New Roman"/>
          <w:sz w:val="24"/>
          <w:szCs w:val="24"/>
        </w:rPr>
        <w:t xml:space="preserve">the </w:t>
      </w:r>
      <w:r w:rsidRPr="00E10E60">
        <w:rPr>
          <w:rFonts w:cs="Times New Roman"/>
          <w:sz w:val="24"/>
          <w:szCs w:val="24"/>
        </w:rPr>
        <w:t xml:space="preserve">Balance sheet of the </w:t>
      </w:r>
      <w:r>
        <w:rPr>
          <w:rFonts w:cs="Times New Roman"/>
          <w:sz w:val="24"/>
          <w:szCs w:val="24"/>
        </w:rPr>
        <w:t>LINDT&amp;SPRUNGLI GROUP</w:t>
      </w:r>
      <w:r w:rsidRPr="00E10E60">
        <w:rPr>
          <w:rFonts w:cs="Times New Roman"/>
          <w:sz w:val="24"/>
          <w:szCs w:val="24"/>
        </w:rPr>
        <w:t xml:space="preserve"> from the </w:t>
      </w:r>
      <w:r>
        <w:rPr>
          <w:rFonts w:cs="Times New Roman"/>
          <w:sz w:val="24"/>
          <w:szCs w:val="24"/>
        </w:rPr>
        <w:t>slide (page 12&amp;13)</w:t>
      </w:r>
      <w:r w:rsidRPr="00E10E60">
        <w:rPr>
          <w:rFonts w:cs="Times New Roman"/>
          <w:sz w:val="24"/>
          <w:szCs w:val="24"/>
        </w:rPr>
        <w:t xml:space="preserve"> and answer the following questions: </w:t>
      </w:r>
    </w:p>
    <w:p w14:paraId="76ED9927" w14:textId="77777777" w:rsidR="00F208A3" w:rsidRPr="00762577" w:rsidRDefault="00F208A3" w:rsidP="00762577">
      <w:pPr>
        <w:pStyle w:val="ListParagraph"/>
        <w:numPr>
          <w:ilvl w:val="0"/>
          <w:numId w:val="1"/>
        </w:numPr>
        <w:jc w:val="both"/>
      </w:pPr>
      <w:r w:rsidRPr="00762577">
        <w:t>Has the company’s liquidity (ability to meet short - term obligations) improved?</w:t>
      </w:r>
    </w:p>
    <w:p w14:paraId="1419613C" w14:textId="77777777" w:rsidR="00566EA7" w:rsidRPr="00762577" w:rsidRDefault="00F208A3" w:rsidP="00762577">
      <w:pPr>
        <w:pStyle w:val="ListParagraph"/>
        <w:numPr>
          <w:ilvl w:val="0"/>
          <w:numId w:val="1"/>
        </w:numPr>
        <w:jc w:val="both"/>
      </w:pPr>
      <w:r w:rsidRPr="00762577">
        <w:t>Is the company solvent (does it have sufficient resources to cover its obligations)?</w:t>
      </w:r>
    </w:p>
    <w:p w14:paraId="674B2568" w14:textId="30BC6C8F" w:rsidR="00950B62" w:rsidRPr="006925DA" w:rsidRDefault="00950B62" w:rsidP="00762577">
      <w:pPr>
        <w:jc w:val="both"/>
        <w:rPr>
          <w:b/>
          <w:u w:val="single"/>
        </w:rPr>
      </w:pPr>
      <w:r w:rsidRPr="006925DA">
        <w:rPr>
          <w:b/>
          <w:u w:val="single"/>
        </w:rPr>
        <w:t>Answer:</w:t>
      </w:r>
    </w:p>
    <w:p w14:paraId="453586FD" w14:textId="5DEB64C7" w:rsidR="00950B62" w:rsidRPr="00762577" w:rsidRDefault="00607C66" w:rsidP="00762577">
      <w:pPr>
        <w:jc w:val="both"/>
      </w:pPr>
      <w:r w:rsidRPr="00762577">
        <w:t>Though frequently used interchangeably, liquidity and solvency are different measures and the differences should be understood. Liquidity refers to the ability to quickly access cash and near-cash assets to satisfy current debt service and operations, whereas solvency refers to strong balance sheet with manageable debt ratios, leverage, and risk that is low enough to maintain access to ongoing funds should the need arise. More specifically, s</w:t>
      </w:r>
      <w:r w:rsidR="00950B62" w:rsidRPr="00762577">
        <w:t xml:space="preserve">olvency ratios include financial obligations in both the long and short term, whereas liquidity ratios focus more on a company's short-term debt obligations and current assets. </w:t>
      </w:r>
      <w:r w:rsidRPr="00762577">
        <w:t>Ratios commonly used to measure liquidity and solvency are:</w:t>
      </w:r>
    </w:p>
    <w:p w14:paraId="3188830F" w14:textId="2A860C46" w:rsidR="00950B62" w:rsidRPr="00762577" w:rsidRDefault="00607C66" w:rsidP="00762577">
      <w:pPr>
        <w:jc w:val="both"/>
      </w:pPr>
      <w:r w:rsidRPr="00762577">
        <w:t xml:space="preserve">Liquidity: Current ratio = </w:t>
      </w:r>
      <w:hyperlink r:id="rId5" w:history="1">
        <w:r w:rsidRPr="00762577">
          <w:t>Current assets</w:t>
        </w:r>
      </w:hyperlink>
      <w:r w:rsidRPr="00762577">
        <w:t xml:space="preserve"> / Current liabilities</w:t>
      </w:r>
    </w:p>
    <w:p w14:paraId="5DAF7F88" w14:textId="3310C3DC" w:rsidR="00950B62" w:rsidRPr="00762577" w:rsidRDefault="00607C66" w:rsidP="00762577">
      <w:pPr>
        <w:jc w:val="both"/>
      </w:pPr>
      <w:r w:rsidRPr="00762577">
        <w:t>Solvency: Debt to assets = Total debt / Total assets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2896"/>
        <w:gridCol w:w="2897"/>
      </w:tblGrid>
      <w:tr w:rsidR="00762577" w:rsidRPr="00762577" w14:paraId="1C30545E" w14:textId="77777777" w:rsidTr="00762577">
        <w:trPr>
          <w:trHeight w:val="266"/>
          <w:jc w:val="center"/>
        </w:trPr>
        <w:tc>
          <w:tcPr>
            <w:tcW w:w="2896" w:type="dxa"/>
          </w:tcPr>
          <w:p w14:paraId="49911C5C" w14:textId="77777777" w:rsidR="000F7FAC" w:rsidRPr="00762577" w:rsidRDefault="000F7FAC" w:rsidP="00762577">
            <w:pPr>
              <w:jc w:val="both"/>
              <w:rPr>
                <w:b/>
                <w:u w:val="single"/>
              </w:rPr>
            </w:pPr>
          </w:p>
        </w:tc>
        <w:tc>
          <w:tcPr>
            <w:tcW w:w="2896" w:type="dxa"/>
          </w:tcPr>
          <w:p w14:paraId="5EF9E1D7" w14:textId="6934E7D5" w:rsidR="000F7FAC" w:rsidRPr="00762577" w:rsidRDefault="000F7FAC" w:rsidP="007C22F1">
            <w:pPr>
              <w:jc w:val="right"/>
              <w:rPr>
                <w:b/>
                <w:u w:val="single"/>
              </w:rPr>
            </w:pPr>
            <w:r w:rsidRPr="00762577">
              <w:rPr>
                <w:b/>
                <w:u w:val="single"/>
              </w:rPr>
              <w:t xml:space="preserve">31 Dec. </w:t>
            </w:r>
            <w:r w:rsidR="007C22F1">
              <w:rPr>
                <w:b/>
                <w:u w:val="single"/>
              </w:rPr>
              <w:t>2018</w:t>
            </w:r>
          </w:p>
        </w:tc>
        <w:tc>
          <w:tcPr>
            <w:tcW w:w="2897" w:type="dxa"/>
          </w:tcPr>
          <w:p w14:paraId="3359EEF1" w14:textId="7A7BCBEB" w:rsidR="000F7FAC" w:rsidRPr="00762577" w:rsidRDefault="000F7FAC" w:rsidP="007C22F1">
            <w:pPr>
              <w:jc w:val="right"/>
              <w:rPr>
                <w:b/>
                <w:u w:val="single"/>
              </w:rPr>
            </w:pPr>
            <w:r w:rsidRPr="00762577">
              <w:rPr>
                <w:b/>
                <w:u w:val="single"/>
              </w:rPr>
              <w:t xml:space="preserve">31 Dec. </w:t>
            </w:r>
            <w:r w:rsidR="007C22F1">
              <w:rPr>
                <w:b/>
                <w:u w:val="single"/>
              </w:rPr>
              <w:t>2017</w:t>
            </w:r>
          </w:p>
        </w:tc>
      </w:tr>
      <w:tr w:rsidR="00762577" w:rsidRPr="00762577" w14:paraId="3887DC18" w14:textId="77777777" w:rsidTr="00762577">
        <w:trPr>
          <w:trHeight w:val="278"/>
          <w:jc w:val="center"/>
        </w:trPr>
        <w:tc>
          <w:tcPr>
            <w:tcW w:w="2896" w:type="dxa"/>
          </w:tcPr>
          <w:p w14:paraId="05215233" w14:textId="5A3C6AC5" w:rsidR="000F7FAC" w:rsidRPr="00762577" w:rsidRDefault="000F7FAC" w:rsidP="00762577">
            <w:pPr>
              <w:jc w:val="both"/>
            </w:pPr>
            <w:r w:rsidRPr="00762577">
              <w:t>Current assets</w:t>
            </w:r>
          </w:p>
        </w:tc>
        <w:tc>
          <w:tcPr>
            <w:tcW w:w="2896" w:type="dxa"/>
          </w:tcPr>
          <w:p w14:paraId="6A5B1CE8" w14:textId="67FF0B37" w:rsidR="000F7FAC" w:rsidRPr="00762577" w:rsidRDefault="007C22F1" w:rsidP="00762577">
            <w:pPr>
              <w:jc w:val="right"/>
            </w:pPr>
            <w:r>
              <w:t>2,933</w:t>
            </w:r>
          </w:p>
        </w:tc>
        <w:tc>
          <w:tcPr>
            <w:tcW w:w="2897" w:type="dxa"/>
          </w:tcPr>
          <w:p w14:paraId="4470DAD4" w14:textId="6E8C981C" w:rsidR="000F7FAC" w:rsidRPr="00762577" w:rsidRDefault="007C22F1" w:rsidP="00762577">
            <w:pPr>
              <w:jc w:val="right"/>
            </w:pPr>
            <w:r>
              <w:t>2,781.1</w:t>
            </w:r>
          </w:p>
        </w:tc>
      </w:tr>
      <w:tr w:rsidR="00762577" w:rsidRPr="00762577" w14:paraId="5F5C1FD7" w14:textId="77777777" w:rsidTr="00762577">
        <w:trPr>
          <w:trHeight w:val="266"/>
          <w:jc w:val="center"/>
        </w:trPr>
        <w:tc>
          <w:tcPr>
            <w:tcW w:w="2896" w:type="dxa"/>
          </w:tcPr>
          <w:p w14:paraId="4F135FD5" w14:textId="3082E9F3" w:rsidR="000F7FAC" w:rsidRPr="00762577" w:rsidRDefault="000F7FAC" w:rsidP="00762577">
            <w:pPr>
              <w:jc w:val="both"/>
            </w:pPr>
            <w:r w:rsidRPr="00762577">
              <w:t>Current liabilities</w:t>
            </w:r>
          </w:p>
        </w:tc>
        <w:tc>
          <w:tcPr>
            <w:tcW w:w="2896" w:type="dxa"/>
          </w:tcPr>
          <w:p w14:paraId="3550436C" w14:textId="76BA9A5D" w:rsidR="000F7FAC" w:rsidRPr="00762577" w:rsidRDefault="007C22F1" w:rsidP="00762577">
            <w:pPr>
              <w:jc w:val="right"/>
            </w:pPr>
            <w:r>
              <w:t>1,028.1</w:t>
            </w:r>
          </w:p>
        </w:tc>
        <w:tc>
          <w:tcPr>
            <w:tcW w:w="2897" w:type="dxa"/>
          </w:tcPr>
          <w:p w14:paraId="6337664A" w14:textId="29EFAF91" w:rsidR="000F7FAC" w:rsidRPr="00762577" w:rsidRDefault="007C22F1" w:rsidP="00762577">
            <w:pPr>
              <w:jc w:val="right"/>
            </w:pPr>
            <w:r>
              <w:t>1,049.8</w:t>
            </w:r>
          </w:p>
        </w:tc>
      </w:tr>
      <w:tr w:rsidR="00762577" w:rsidRPr="00762577" w14:paraId="7B426BB2" w14:textId="77777777" w:rsidTr="00762577">
        <w:trPr>
          <w:trHeight w:val="278"/>
          <w:jc w:val="center"/>
        </w:trPr>
        <w:tc>
          <w:tcPr>
            <w:tcW w:w="2896" w:type="dxa"/>
          </w:tcPr>
          <w:p w14:paraId="6C3E57B7" w14:textId="4F547118" w:rsidR="000F7FAC" w:rsidRPr="00762577" w:rsidRDefault="000F7FAC" w:rsidP="00762577">
            <w:pPr>
              <w:jc w:val="both"/>
            </w:pPr>
            <w:r w:rsidRPr="00762577">
              <w:t>Current ratio</w:t>
            </w:r>
          </w:p>
        </w:tc>
        <w:tc>
          <w:tcPr>
            <w:tcW w:w="2896" w:type="dxa"/>
          </w:tcPr>
          <w:p w14:paraId="2EB7F4CD" w14:textId="1FFC7442" w:rsidR="000F7FAC" w:rsidRPr="00762577" w:rsidRDefault="007C22F1" w:rsidP="00762577">
            <w:pPr>
              <w:jc w:val="right"/>
            </w:pPr>
            <w:r>
              <w:t>2.85</w:t>
            </w:r>
          </w:p>
        </w:tc>
        <w:tc>
          <w:tcPr>
            <w:tcW w:w="2897" w:type="dxa"/>
          </w:tcPr>
          <w:p w14:paraId="623736E9" w14:textId="5D07822F" w:rsidR="000F7FAC" w:rsidRPr="00762577" w:rsidRDefault="007C22F1" w:rsidP="00762577">
            <w:pPr>
              <w:jc w:val="right"/>
            </w:pPr>
            <w:r>
              <w:t>2.65</w:t>
            </w:r>
          </w:p>
        </w:tc>
      </w:tr>
      <w:tr w:rsidR="00762577" w:rsidRPr="00762577" w14:paraId="42347E36" w14:textId="77777777" w:rsidTr="00762577">
        <w:trPr>
          <w:trHeight w:val="266"/>
          <w:jc w:val="center"/>
        </w:trPr>
        <w:tc>
          <w:tcPr>
            <w:tcW w:w="2896" w:type="dxa"/>
          </w:tcPr>
          <w:p w14:paraId="3E2A90D0" w14:textId="75838194" w:rsidR="000F7FAC" w:rsidRPr="00762577" w:rsidRDefault="000F7FAC" w:rsidP="00762577">
            <w:pPr>
              <w:jc w:val="both"/>
            </w:pPr>
            <w:r w:rsidRPr="00762577">
              <w:t>Total debt</w:t>
            </w:r>
          </w:p>
        </w:tc>
        <w:tc>
          <w:tcPr>
            <w:tcW w:w="2896" w:type="dxa"/>
          </w:tcPr>
          <w:p w14:paraId="02024CDD" w14:textId="52E9FEA9" w:rsidR="000F7FAC" w:rsidRPr="00762577" w:rsidRDefault="007C22F1" w:rsidP="00762577">
            <w:pPr>
              <w:jc w:val="right"/>
            </w:pPr>
            <w:r>
              <w:t>2,763.4</w:t>
            </w:r>
          </w:p>
        </w:tc>
        <w:tc>
          <w:tcPr>
            <w:tcW w:w="2897" w:type="dxa"/>
          </w:tcPr>
          <w:p w14:paraId="2D4B70D6" w14:textId="29A211BF" w:rsidR="000F7FAC" w:rsidRPr="00762577" w:rsidRDefault="007C22F1" w:rsidP="00762577">
            <w:pPr>
              <w:jc w:val="right"/>
            </w:pPr>
            <w:r>
              <w:t>2,780.6</w:t>
            </w:r>
          </w:p>
        </w:tc>
      </w:tr>
      <w:tr w:rsidR="00762577" w:rsidRPr="00762577" w14:paraId="5B3AABF2" w14:textId="77777777" w:rsidTr="00762577">
        <w:trPr>
          <w:trHeight w:val="266"/>
          <w:jc w:val="center"/>
        </w:trPr>
        <w:tc>
          <w:tcPr>
            <w:tcW w:w="2896" w:type="dxa"/>
          </w:tcPr>
          <w:p w14:paraId="72DABE7F" w14:textId="510EFF21" w:rsidR="000F7FAC" w:rsidRPr="00762577" w:rsidRDefault="000F7FAC" w:rsidP="00762577">
            <w:pPr>
              <w:jc w:val="both"/>
            </w:pPr>
            <w:r w:rsidRPr="00762577">
              <w:t>Total assets</w:t>
            </w:r>
          </w:p>
        </w:tc>
        <w:tc>
          <w:tcPr>
            <w:tcW w:w="2896" w:type="dxa"/>
          </w:tcPr>
          <w:p w14:paraId="4CCB0905" w14:textId="275AAFB5" w:rsidR="000F7FAC" w:rsidRPr="00762577" w:rsidRDefault="007C22F1" w:rsidP="00762577">
            <w:pPr>
              <w:jc w:val="right"/>
            </w:pPr>
            <w:r>
              <w:t>7,249.8</w:t>
            </w:r>
          </w:p>
        </w:tc>
        <w:tc>
          <w:tcPr>
            <w:tcW w:w="2897" w:type="dxa"/>
          </w:tcPr>
          <w:p w14:paraId="2425DA76" w14:textId="4CE4DCC7" w:rsidR="000F7FAC" w:rsidRPr="00762577" w:rsidRDefault="007C22F1" w:rsidP="00762577">
            <w:pPr>
              <w:jc w:val="right"/>
            </w:pPr>
            <w:r>
              <w:t>6,975.6</w:t>
            </w:r>
          </w:p>
        </w:tc>
      </w:tr>
      <w:tr w:rsidR="00762577" w:rsidRPr="00762577" w14:paraId="4BBFD3C6" w14:textId="77777777" w:rsidTr="00762577">
        <w:trPr>
          <w:trHeight w:val="278"/>
          <w:jc w:val="center"/>
        </w:trPr>
        <w:tc>
          <w:tcPr>
            <w:tcW w:w="2896" w:type="dxa"/>
          </w:tcPr>
          <w:p w14:paraId="74E33CE6" w14:textId="475E7246" w:rsidR="000F7FAC" w:rsidRPr="00762577" w:rsidRDefault="000F7FAC" w:rsidP="00762577">
            <w:pPr>
              <w:jc w:val="both"/>
            </w:pPr>
            <w:r w:rsidRPr="00762577">
              <w:t>Debt to assets ratio</w:t>
            </w:r>
          </w:p>
        </w:tc>
        <w:tc>
          <w:tcPr>
            <w:tcW w:w="2896" w:type="dxa"/>
          </w:tcPr>
          <w:p w14:paraId="4CA44987" w14:textId="0FF056F3" w:rsidR="000F7FAC" w:rsidRPr="00762577" w:rsidRDefault="007C22F1" w:rsidP="00762577">
            <w:pPr>
              <w:jc w:val="right"/>
            </w:pPr>
            <w:r>
              <w:t>0.38</w:t>
            </w:r>
          </w:p>
        </w:tc>
        <w:tc>
          <w:tcPr>
            <w:tcW w:w="2897" w:type="dxa"/>
          </w:tcPr>
          <w:p w14:paraId="55A59130" w14:textId="2B863203" w:rsidR="000F7FAC" w:rsidRPr="00762577" w:rsidRDefault="007C22F1" w:rsidP="00762577">
            <w:pPr>
              <w:jc w:val="right"/>
            </w:pPr>
            <w:r>
              <w:t>0.40</w:t>
            </w:r>
          </w:p>
        </w:tc>
      </w:tr>
    </w:tbl>
    <w:p w14:paraId="2E3091EA" w14:textId="77777777" w:rsidR="00762577" w:rsidRPr="006A1091" w:rsidRDefault="00762577" w:rsidP="00762577">
      <w:pPr>
        <w:jc w:val="both"/>
      </w:pPr>
    </w:p>
    <w:p w14:paraId="2CB3FC36" w14:textId="0193FFC9" w:rsidR="00566EA7" w:rsidRPr="006A1091" w:rsidRDefault="000F7FAC" w:rsidP="00762577">
      <w:pPr>
        <w:jc w:val="both"/>
      </w:pPr>
      <w:r w:rsidRPr="006A1091">
        <w:t xml:space="preserve">Based on the above calculation, the current ratio of </w:t>
      </w:r>
      <w:r w:rsidR="007C22F1">
        <w:t>2018</w:t>
      </w:r>
      <w:r w:rsidRPr="006A1091">
        <w:t xml:space="preserve"> is </w:t>
      </w:r>
      <w:r w:rsidR="007C22F1">
        <w:t>more</w:t>
      </w:r>
      <w:r w:rsidR="00991633">
        <w:t xml:space="preserve"> than that of 2017</w:t>
      </w:r>
      <w:r w:rsidRPr="006A1091">
        <w:t>, so the company’s liquidity has improved. Since the company’s total assets are greater than its liabilities in both years, the company is solvent, i.e. it has sufficient resources to cover its obligations.</w:t>
      </w:r>
    </w:p>
    <w:p w14:paraId="185A92E8" w14:textId="77777777" w:rsidR="00762577" w:rsidRPr="006A1091" w:rsidRDefault="00762577" w:rsidP="008E7043">
      <w:pPr>
        <w:rPr>
          <w:color w:val="C45911" w:themeColor="accent2" w:themeShade="BF"/>
        </w:rPr>
      </w:pPr>
    </w:p>
    <w:p w14:paraId="0FDF6D0D" w14:textId="39C807FB" w:rsidR="00165340" w:rsidRPr="006A1091" w:rsidRDefault="00165340" w:rsidP="00165340">
      <w:pPr>
        <w:rPr>
          <w:b/>
        </w:rPr>
      </w:pPr>
      <w:r w:rsidRPr="006A1091">
        <w:rPr>
          <w:b/>
        </w:rPr>
        <w:t>Question 4: Use of income statement to evaluate a company</w:t>
      </w:r>
    </w:p>
    <w:p w14:paraId="18056DEA" w14:textId="77777777" w:rsidR="007C22F1" w:rsidRPr="007C22F1" w:rsidRDefault="007C22F1" w:rsidP="007C22F1">
      <w:r w:rsidRPr="007C22F1">
        <w:t>How will you comment on Qantas profitability in 2019/2020 using its income statement? What is your conclusion?</w:t>
      </w:r>
    </w:p>
    <w:p w14:paraId="35703D81" w14:textId="77777777" w:rsidR="00560E3D" w:rsidRPr="006A1091" w:rsidRDefault="00560E3D" w:rsidP="00165340">
      <w:pPr>
        <w:rPr>
          <w:b/>
          <w:u w:val="single"/>
        </w:rPr>
      </w:pPr>
      <w:r w:rsidRPr="006A1091">
        <w:rPr>
          <w:b/>
          <w:u w:val="single"/>
        </w:rPr>
        <w:t xml:space="preserve">Answer: </w:t>
      </w:r>
    </w:p>
    <w:p w14:paraId="2D296988" w14:textId="7BA9ED01" w:rsidR="005D0388" w:rsidRPr="006A1091" w:rsidRDefault="00560E3D" w:rsidP="004B4233">
      <w:pPr>
        <w:jc w:val="both"/>
      </w:pPr>
      <w:r w:rsidRPr="006A1091">
        <w:t xml:space="preserve">The company’s profitability declined substantially in </w:t>
      </w:r>
      <w:r w:rsidR="007C22F1">
        <w:t>2020</w:t>
      </w:r>
      <w:r w:rsidRPr="006A1091">
        <w:t xml:space="preserve">, primarily because of lower </w:t>
      </w:r>
      <w:r w:rsidR="007C22F1">
        <w:t>revenue</w:t>
      </w:r>
      <w:r w:rsidRPr="006A1091">
        <w:t xml:space="preserve">. This was not unexpected given the </w:t>
      </w:r>
      <w:r w:rsidR="007C22F1">
        <w:t xml:space="preserve">COVID-19 pandemic. </w:t>
      </w:r>
      <w:r w:rsidRPr="006A1091">
        <w:t xml:space="preserve">A better understanding of </w:t>
      </w:r>
      <w:r w:rsidR="007C22F1">
        <w:t>Qantas</w:t>
      </w:r>
      <w:r w:rsidR="007C22F1" w:rsidRPr="006A1091">
        <w:t>’s</w:t>
      </w:r>
      <w:r w:rsidRPr="006A1091">
        <w:t xml:space="preserve"> profitability could likely be gained by examining income statements over a longer time period.</w:t>
      </w:r>
    </w:p>
    <w:p w14:paraId="3A6FC9D0" w14:textId="5F7446F9" w:rsidR="008E7043" w:rsidRPr="006A1091" w:rsidRDefault="00DE04F7" w:rsidP="008E7043">
      <w:pPr>
        <w:rPr>
          <w:b/>
        </w:rPr>
      </w:pPr>
      <w:r w:rsidRPr="00C30DF3">
        <w:rPr>
          <w:b/>
        </w:rPr>
        <w:lastRenderedPageBreak/>
        <w:t xml:space="preserve">Question </w:t>
      </w:r>
      <w:r w:rsidR="00D8555D">
        <w:rPr>
          <w:b/>
        </w:rPr>
        <w:t>5</w:t>
      </w:r>
      <w:r w:rsidRPr="00C30DF3">
        <w:rPr>
          <w:b/>
        </w:rPr>
        <w:t>:</w:t>
      </w:r>
    </w:p>
    <w:p w14:paraId="416D7C92" w14:textId="401DF3E4" w:rsidR="00593DD9" w:rsidRPr="006A1091" w:rsidRDefault="00593DD9" w:rsidP="00593DD9">
      <w:pPr>
        <w:autoSpaceDE w:val="0"/>
        <w:autoSpaceDN w:val="0"/>
        <w:adjustRightInd w:val="0"/>
        <w:spacing w:before="240" w:after="0" w:line="240" w:lineRule="auto"/>
        <w:rPr>
          <w:rFonts w:cs="Thorndale for VST"/>
        </w:rPr>
      </w:pPr>
      <w:r w:rsidRPr="006A1091">
        <w:rPr>
          <w:rFonts w:cs="Thorndale for VST"/>
        </w:rPr>
        <w:t>The following numbers appeared in the annual report of DM Goodrich, the consumer foods manufacturer, for the fiscal year ending May 2016 (in millions of dollars):</w:t>
      </w:r>
    </w:p>
    <w:p w14:paraId="6CACDBC6" w14:textId="77777777" w:rsidR="00B45194" w:rsidRPr="006A1091" w:rsidRDefault="00B45194" w:rsidP="00593DD9">
      <w:pPr>
        <w:autoSpaceDE w:val="0"/>
        <w:autoSpaceDN w:val="0"/>
        <w:adjustRightInd w:val="0"/>
        <w:spacing w:before="240" w:after="0" w:line="240" w:lineRule="auto"/>
        <w:rPr>
          <w:rFonts w:cs="Thorndale for VST"/>
        </w:rPr>
      </w:pPr>
    </w:p>
    <w:p w14:paraId="2050CBAD" w14:textId="77777777" w:rsidR="00593DD9" w:rsidRPr="006A1091" w:rsidRDefault="00593DD9" w:rsidP="00593DD9">
      <w:pPr>
        <w:autoSpaceDE w:val="0"/>
        <w:autoSpaceDN w:val="0"/>
        <w:adjustRightInd w:val="0"/>
        <w:spacing w:before="240" w:after="0" w:line="240" w:lineRule="auto"/>
        <w:rPr>
          <w:rFonts w:cs="Thorndale for VST"/>
        </w:rPr>
      </w:pPr>
    </w:p>
    <w:tbl>
      <w:tblPr>
        <w:tblStyle w:val="TableGrid"/>
        <w:tblW w:w="0" w:type="auto"/>
        <w:tblInd w:w="39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1"/>
        <w:gridCol w:w="2139"/>
        <w:gridCol w:w="1854"/>
      </w:tblGrid>
      <w:tr w:rsidR="00E114F0" w:rsidRPr="006A1091" w14:paraId="0F210B02" w14:textId="77777777" w:rsidTr="00FD3585">
        <w:tc>
          <w:tcPr>
            <w:tcW w:w="4961" w:type="dxa"/>
          </w:tcPr>
          <w:p w14:paraId="56A26F22" w14:textId="77777777" w:rsidR="00593DD9" w:rsidRPr="006A1091" w:rsidRDefault="00593DD9" w:rsidP="00FD3585">
            <w:pPr>
              <w:autoSpaceDE w:val="0"/>
              <w:autoSpaceDN w:val="0"/>
              <w:adjustRightInd w:val="0"/>
              <w:rPr>
                <w:rFonts w:cs="Thorndale for VST"/>
              </w:rPr>
            </w:pPr>
          </w:p>
        </w:tc>
        <w:tc>
          <w:tcPr>
            <w:tcW w:w="2268" w:type="dxa"/>
          </w:tcPr>
          <w:p w14:paraId="308E498A" w14:textId="514DA347" w:rsidR="00593DD9" w:rsidRPr="006A1091" w:rsidRDefault="00593DD9" w:rsidP="00E96B2C">
            <w:pPr>
              <w:autoSpaceDE w:val="0"/>
              <w:autoSpaceDN w:val="0"/>
              <w:adjustRightInd w:val="0"/>
              <w:jc w:val="center"/>
              <w:rPr>
                <w:rFonts w:cs="Thorndale for VST"/>
                <w:b/>
              </w:rPr>
            </w:pPr>
            <w:r w:rsidRPr="006A1091">
              <w:rPr>
                <w:rFonts w:cs="Thorndale for VST"/>
                <w:b/>
              </w:rPr>
              <w:t>Fiscal 201</w:t>
            </w:r>
            <w:r w:rsidR="00E96B2C" w:rsidRPr="006A1091">
              <w:rPr>
                <w:rFonts w:cs="Thorndale for VST"/>
                <w:b/>
              </w:rPr>
              <w:t>6</w:t>
            </w:r>
          </w:p>
        </w:tc>
        <w:tc>
          <w:tcPr>
            <w:tcW w:w="1955" w:type="dxa"/>
          </w:tcPr>
          <w:p w14:paraId="5DA7F2F8" w14:textId="400AA9B8" w:rsidR="00593DD9" w:rsidRPr="006A1091" w:rsidRDefault="00593DD9" w:rsidP="00E96B2C">
            <w:pPr>
              <w:autoSpaceDE w:val="0"/>
              <w:autoSpaceDN w:val="0"/>
              <w:adjustRightInd w:val="0"/>
              <w:jc w:val="center"/>
              <w:rPr>
                <w:rFonts w:cs="Thorndale for VST"/>
                <w:b/>
              </w:rPr>
            </w:pPr>
            <w:r w:rsidRPr="006A1091">
              <w:rPr>
                <w:rFonts w:cs="Thorndale for VST"/>
                <w:b/>
              </w:rPr>
              <w:t>Fiscal 20</w:t>
            </w:r>
            <w:r w:rsidR="00E96B2C" w:rsidRPr="006A1091">
              <w:rPr>
                <w:rFonts w:cs="Thorndale for VST"/>
                <w:b/>
              </w:rPr>
              <w:t>15</w:t>
            </w:r>
          </w:p>
        </w:tc>
      </w:tr>
      <w:tr w:rsidR="00E114F0" w:rsidRPr="006A1091" w14:paraId="631839FE" w14:textId="77777777" w:rsidTr="00FD3585">
        <w:tc>
          <w:tcPr>
            <w:tcW w:w="4961" w:type="dxa"/>
          </w:tcPr>
          <w:p w14:paraId="01B00952" w14:textId="77777777" w:rsidR="00593DD9" w:rsidRPr="006A1091" w:rsidRDefault="00593DD9" w:rsidP="00FD3585">
            <w:pPr>
              <w:autoSpaceDE w:val="0"/>
              <w:autoSpaceDN w:val="0"/>
              <w:adjustRightInd w:val="0"/>
              <w:rPr>
                <w:rFonts w:cs="Thorndale for VST"/>
              </w:rPr>
            </w:pPr>
            <w:r w:rsidRPr="006A1091">
              <w:rPr>
                <w:rFonts w:cs="Thorndale for VST"/>
              </w:rPr>
              <w:t>Total assets</w:t>
            </w:r>
          </w:p>
        </w:tc>
        <w:tc>
          <w:tcPr>
            <w:tcW w:w="2268" w:type="dxa"/>
          </w:tcPr>
          <w:p w14:paraId="59624E1A" w14:textId="5C93D394" w:rsidR="00593DD9" w:rsidRPr="006A1091" w:rsidRDefault="00593DD9" w:rsidP="00E96B2C">
            <w:pPr>
              <w:autoSpaceDE w:val="0"/>
              <w:autoSpaceDN w:val="0"/>
              <w:adjustRightInd w:val="0"/>
              <w:jc w:val="center"/>
              <w:rPr>
                <w:rFonts w:cs="Thorndale for VST"/>
              </w:rPr>
            </w:pPr>
            <w:r w:rsidRPr="006A1091">
              <w:rPr>
                <w:rFonts w:cs="Thorndale for VST"/>
              </w:rPr>
              <w:t>1</w:t>
            </w:r>
            <w:r w:rsidR="00E96B2C" w:rsidRPr="006A1091">
              <w:rPr>
                <w:rFonts w:cs="Thorndale for VST"/>
              </w:rPr>
              <w:t>8</w:t>
            </w:r>
            <w:r w:rsidRPr="006A1091">
              <w:rPr>
                <w:rFonts w:cs="Thorndale for VST"/>
              </w:rPr>
              <w:t>,6</w:t>
            </w:r>
            <w:r w:rsidR="00E96B2C" w:rsidRPr="006A1091">
              <w:rPr>
                <w:rFonts w:cs="Thorndale for VST"/>
              </w:rPr>
              <w:t>91</w:t>
            </w:r>
          </w:p>
        </w:tc>
        <w:tc>
          <w:tcPr>
            <w:tcW w:w="1955" w:type="dxa"/>
          </w:tcPr>
          <w:p w14:paraId="2B5B27F2" w14:textId="66CEAA55" w:rsidR="00593DD9" w:rsidRPr="006A1091" w:rsidRDefault="00593DD9" w:rsidP="00E96B2C">
            <w:pPr>
              <w:autoSpaceDE w:val="0"/>
              <w:autoSpaceDN w:val="0"/>
              <w:adjustRightInd w:val="0"/>
              <w:jc w:val="center"/>
              <w:rPr>
                <w:rFonts w:cs="Thorndale for VST"/>
              </w:rPr>
            </w:pPr>
            <w:r w:rsidRPr="006A1091">
              <w:rPr>
                <w:rFonts w:cs="Thorndale for VST"/>
              </w:rPr>
              <w:t>1</w:t>
            </w:r>
            <w:r w:rsidR="00E96B2C" w:rsidRPr="006A1091">
              <w:rPr>
                <w:rFonts w:cs="Thorndale for VST"/>
              </w:rPr>
              <w:t>8</w:t>
            </w:r>
            <w:r w:rsidRPr="006A1091">
              <w:rPr>
                <w:rFonts w:cs="Thorndale for VST"/>
              </w:rPr>
              <w:t>,875</w:t>
            </w:r>
          </w:p>
        </w:tc>
      </w:tr>
      <w:tr w:rsidR="00E114F0" w:rsidRPr="006A1091" w14:paraId="43479F92" w14:textId="77777777" w:rsidTr="00FD3585">
        <w:tc>
          <w:tcPr>
            <w:tcW w:w="4961" w:type="dxa"/>
          </w:tcPr>
          <w:p w14:paraId="33759F43" w14:textId="77777777" w:rsidR="00593DD9" w:rsidRPr="006A1091" w:rsidRDefault="00593DD9" w:rsidP="00FD3585">
            <w:pPr>
              <w:autoSpaceDE w:val="0"/>
              <w:autoSpaceDN w:val="0"/>
              <w:adjustRightInd w:val="0"/>
              <w:rPr>
                <w:rFonts w:cs="Thorndale for VST"/>
              </w:rPr>
            </w:pPr>
            <w:r w:rsidRPr="006A1091">
              <w:rPr>
                <w:rFonts w:cs="Thorndale for VST"/>
              </w:rPr>
              <w:t>Total stockholders’ equity</w:t>
            </w:r>
          </w:p>
        </w:tc>
        <w:tc>
          <w:tcPr>
            <w:tcW w:w="2268" w:type="dxa"/>
          </w:tcPr>
          <w:p w14:paraId="426BACF3" w14:textId="34152584" w:rsidR="00593DD9" w:rsidRPr="006A1091" w:rsidRDefault="00E96B2C" w:rsidP="00E96B2C">
            <w:pPr>
              <w:autoSpaceDE w:val="0"/>
              <w:autoSpaceDN w:val="0"/>
              <w:adjustRightInd w:val="0"/>
              <w:jc w:val="center"/>
              <w:rPr>
                <w:rFonts w:cs="Thorndale for VST"/>
              </w:rPr>
            </w:pPr>
            <w:r w:rsidRPr="006A1091">
              <w:rPr>
                <w:rFonts w:cs="Thorndale for VST"/>
              </w:rPr>
              <w:t>6</w:t>
            </w:r>
            <w:r w:rsidR="00593DD9" w:rsidRPr="006A1091">
              <w:rPr>
                <w:rFonts w:cs="Thorndale for VST"/>
              </w:rPr>
              <w:t>,</w:t>
            </w:r>
            <w:r w:rsidRPr="006A1091">
              <w:rPr>
                <w:rFonts w:cs="Thorndale for VST"/>
              </w:rPr>
              <w:t>893</w:t>
            </w:r>
          </w:p>
        </w:tc>
        <w:tc>
          <w:tcPr>
            <w:tcW w:w="1955" w:type="dxa"/>
          </w:tcPr>
          <w:p w14:paraId="37D6B76D" w14:textId="15A2DE34" w:rsidR="00593DD9" w:rsidRPr="006A1091" w:rsidRDefault="00E96B2C" w:rsidP="00E96B2C">
            <w:pPr>
              <w:autoSpaceDE w:val="0"/>
              <w:autoSpaceDN w:val="0"/>
              <w:adjustRightInd w:val="0"/>
              <w:jc w:val="center"/>
              <w:rPr>
                <w:rFonts w:cs="Thorndale for VST"/>
              </w:rPr>
            </w:pPr>
            <w:r w:rsidRPr="006A1091">
              <w:rPr>
                <w:rFonts w:cs="Thorndale for VST"/>
              </w:rPr>
              <w:t>6</w:t>
            </w:r>
            <w:r w:rsidR="00593DD9" w:rsidRPr="006A1091">
              <w:rPr>
                <w:rFonts w:cs="Thorndale for VST"/>
              </w:rPr>
              <w:t>,</w:t>
            </w:r>
            <w:r w:rsidRPr="006A1091">
              <w:rPr>
                <w:rFonts w:cs="Thorndale for VST"/>
              </w:rPr>
              <w:t>6</w:t>
            </w:r>
            <w:r w:rsidR="00593DD9" w:rsidRPr="006A1091">
              <w:rPr>
                <w:rFonts w:cs="Thorndale for VST"/>
              </w:rPr>
              <w:t>17</w:t>
            </w:r>
          </w:p>
        </w:tc>
      </w:tr>
      <w:tr w:rsidR="00E114F0" w:rsidRPr="006A1091" w14:paraId="284F87B5" w14:textId="77777777" w:rsidTr="00FD3585">
        <w:tc>
          <w:tcPr>
            <w:tcW w:w="4961" w:type="dxa"/>
          </w:tcPr>
          <w:p w14:paraId="2DC18F1D" w14:textId="77777777" w:rsidR="00593DD9" w:rsidRPr="006A1091" w:rsidRDefault="00593DD9" w:rsidP="00FD3585">
            <w:pPr>
              <w:autoSpaceDE w:val="0"/>
              <w:autoSpaceDN w:val="0"/>
              <w:adjustRightInd w:val="0"/>
              <w:rPr>
                <w:rFonts w:cs="Thorndale for VST"/>
              </w:rPr>
            </w:pPr>
            <w:r w:rsidRPr="006A1091">
              <w:rPr>
                <w:rFonts w:cs="Thorndale for VST"/>
              </w:rPr>
              <w:t>Total revenues</w:t>
            </w:r>
          </w:p>
        </w:tc>
        <w:tc>
          <w:tcPr>
            <w:tcW w:w="2268" w:type="dxa"/>
          </w:tcPr>
          <w:p w14:paraId="759C14AA" w14:textId="4C76D171" w:rsidR="00593DD9" w:rsidRPr="006A1091" w:rsidRDefault="00593DD9" w:rsidP="00E96B2C">
            <w:pPr>
              <w:autoSpaceDE w:val="0"/>
              <w:autoSpaceDN w:val="0"/>
              <w:adjustRightInd w:val="0"/>
              <w:jc w:val="center"/>
              <w:rPr>
                <w:rFonts w:cs="Thorndale for VST"/>
              </w:rPr>
            </w:pPr>
            <w:r w:rsidRPr="006A1091">
              <w:rPr>
                <w:rFonts w:cs="Thorndale for VST"/>
              </w:rPr>
              <w:t>1</w:t>
            </w:r>
            <w:r w:rsidR="00E96B2C" w:rsidRPr="006A1091">
              <w:rPr>
                <w:rFonts w:cs="Thorndale for VST"/>
              </w:rPr>
              <w:t>2</w:t>
            </w:r>
            <w:r w:rsidRPr="006A1091">
              <w:rPr>
                <w:rFonts w:cs="Thorndale for VST"/>
              </w:rPr>
              <w:t>,</w:t>
            </w:r>
            <w:r w:rsidR="00E96B2C" w:rsidRPr="006A1091">
              <w:rPr>
                <w:rFonts w:cs="Thorndale for VST"/>
              </w:rPr>
              <w:t>352</w:t>
            </w:r>
          </w:p>
        </w:tc>
        <w:tc>
          <w:tcPr>
            <w:tcW w:w="1955" w:type="dxa"/>
          </w:tcPr>
          <w:p w14:paraId="7FD1A262" w14:textId="7D38E692" w:rsidR="00593DD9" w:rsidRPr="006A1091" w:rsidRDefault="00593DD9" w:rsidP="00E96B2C">
            <w:pPr>
              <w:autoSpaceDE w:val="0"/>
              <w:autoSpaceDN w:val="0"/>
              <w:adjustRightInd w:val="0"/>
              <w:jc w:val="center"/>
              <w:rPr>
                <w:rFonts w:cs="Thorndale for VST"/>
              </w:rPr>
            </w:pPr>
            <w:r w:rsidRPr="006A1091">
              <w:rPr>
                <w:rFonts w:cs="Thorndale for VST"/>
              </w:rPr>
              <w:t>1</w:t>
            </w:r>
            <w:r w:rsidR="00E96B2C" w:rsidRPr="006A1091">
              <w:rPr>
                <w:rFonts w:cs="Thorndale for VST"/>
              </w:rPr>
              <w:t>2</w:t>
            </w:r>
            <w:r w:rsidRPr="006A1091">
              <w:rPr>
                <w:rFonts w:cs="Thorndale for VST"/>
              </w:rPr>
              <w:t>,</w:t>
            </w:r>
            <w:r w:rsidR="00E96B2C" w:rsidRPr="006A1091">
              <w:rPr>
                <w:rFonts w:cs="Thorndale for VST"/>
              </w:rPr>
              <w:t>781</w:t>
            </w:r>
          </w:p>
        </w:tc>
      </w:tr>
      <w:tr w:rsidR="00E114F0" w:rsidRPr="006A1091" w14:paraId="442A73D3" w14:textId="77777777" w:rsidTr="00FD3585">
        <w:tc>
          <w:tcPr>
            <w:tcW w:w="4961" w:type="dxa"/>
          </w:tcPr>
          <w:p w14:paraId="0E15F935" w14:textId="77777777" w:rsidR="00593DD9" w:rsidRPr="006A1091" w:rsidRDefault="00593DD9" w:rsidP="00FD3585">
            <w:pPr>
              <w:autoSpaceDE w:val="0"/>
              <w:autoSpaceDN w:val="0"/>
              <w:adjustRightInd w:val="0"/>
              <w:rPr>
                <w:rFonts w:cs="Thorndale for VST"/>
              </w:rPr>
            </w:pPr>
            <w:r w:rsidRPr="006A1091">
              <w:rPr>
                <w:rFonts w:cs="Thorndale for VST"/>
              </w:rPr>
              <w:t>Common share issues</w:t>
            </w:r>
          </w:p>
        </w:tc>
        <w:tc>
          <w:tcPr>
            <w:tcW w:w="2268" w:type="dxa"/>
          </w:tcPr>
          <w:p w14:paraId="7C06208B" w14:textId="3360FEE1" w:rsidR="00593DD9" w:rsidRPr="006A1091" w:rsidRDefault="00E96B2C" w:rsidP="00E96B2C">
            <w:pPr>
              <w:autoSpaceDE w:val="0"/>
              <w:autoSpaceDN w:val="0"/>
              <w:adjustRightInd w:val="0"/>
              <w:jc w:val="center"/>
              <w:rPr>
                <w:rFonts w:cs="Thorndale for VST"/>
              </w:rPr>
            </w:pPr>
            <w:r w:rsidRPr="006A1091">
              <w:rPr>
                <w:rFonts w:cs="Thorndale for VST"/>
              </w:rPr>
              <w:t>7</w:t>
            </w:r>
            <w:r w:rsidR="00593DD9" w:rsidRPr="006A1091">
              <w:rPr>
                <w:rFonts w:cs="Thorndale for VST"/>
              </w:rPr>
              <w:t>0</w:t>
            </w:r>
            <w:r w:rsidRPr="006A1091">
              <w:rPr>
                <w:rFonts w:cs="Thorndale for VST"/>
              </w:rPr>
              <w:t>5</w:t>
            </w:r>
          </w:p>
        </w:tc>
        <w:tc>
          <w:tcPr>
            <w:tcW w:w="1955" w:type="dxa"/>
          </w:tcPr>
          <w:p w14:paraId="121B80D7" w14:textId="47DC0668" w:rsidR="00593DD9" w:rsidRPr="006A1091" w:rsidRDefault="00E96B2C" w:rsidP="00FD3585">
            <w:pPr>
              <w:autoSpaceDE w:val="0"/>
              <w:autoSpaceDN w:val="0"/>
              <w:adjustRightInd w:val="0"/>
              <w:jc w:val="center"/>
              <w:rPr>
                <w:rFonts w:cs="Thorndale for VST"/>
              </w:rPr>
            </w:pPr>
            <w:r w:rsidRPr="006A1091">
              <w:rPr>
                <w:rFonts w:cs="Thorndale for VST"/>
              </w:rPr>
              <w:t>6</w:t>
            </w:r>
            <w:r w:rsidR="00593DD9" w:rsidRPr="006A1091">
              <w:rPr>
                <w:rFonts w:cs="Thorndale for VST"/>
              </w:rPr>
              <w:t>21</w:t>
            </w:r>
          </w:p>
        </w:tc>
      </w:tr>
      <w:tr w:rsidR="00E114F0" w:rsidRPr="006A1091" w14:paraId="667BA0EE" w14:textId="77777777" w:rsidTr="00FD3585">
        <w:tc>
          <w:tcPr>
            <w:tcW w:w="4961" w:type="dxa"/>
          </w:tcPr>
          <w:p w14:paraId="2BAA3694" w14:textId="77777777" w:rsidR="00593DD9" w:rsidRPr="006A1091" w:rsidRDefault="00593DD9" w:rsidP="00FD3585">
            <w:pPr>
              <w:autoSpaceDE w:val="0"/>
              <w:autoSpaceDN w:val="0"/>
              <w:adjustRightInd w:val="0"/>
              <w:rPr>
                <w:rFonts w:cs="Thorndale for VST"/>
              </w:rPr>
            </w:pPr>
            <w:r w:rsidRPr="006A1091">
              <w:rPr>
                <w:rFonts w:cs="Thorndale for VST"/>
              </w:rPr>
              <w:t>Common dividends</w:t>
            </w:r>
          </w:p>
        </w:tc>
        <w:tc>
          <w:tcPr>
            <w:tcW w:w="2268" w:type="dxa"/>
          </w:tcPr>
          <w:p w14:paraId="3BFC85D6" w14:textId="0C6520E8" w:rsidR="00593DD9" w:rsidRPr="006A1091" w:rsidRDefault="00E96B2C" w:rsidP="00E96B2C">
            <w:pPr>
              <w:autoSpaceDE w:val="0"/>
              <w:autoSpaceDN w:val="0"/>
              <w:adjustRightInd w:val="0"/>
              <w:jc w:val="center"/>
              <w:rPr>
                <w:rFonts w:cs="Thorndale for VST"/>
              </w:rPr>
            </w:pPr>
            <w:r w:rsidRPr="006A1091">
              <w:rPr>
                <w:rFonts w:cs="Thorndale for VST"/>
              </w:rPr>
              <w:t>753</w:t>
            </w:r>
          </w:p>
        </w:tc>
        <w:tc>
          <w:tcPr>
            <w:tcW w:w="1955" w:type="dxa"/>
          </w:tcPr>
          <w:p w14:paraId="61A733D0" w14:textId="75EFC6EE" w:rsidR="00593DD9" w:rsidRPr="006A1091" w:rsidRDefault="00E96B2C" w:rsidP="00FD3585">
            <w:pPr>
              <w:autoSpaceDE w:val="0"/>
              <w:autoSpaceDN w:val="0"/>
              <w:adjustRightInd w:val="0"/>
              <w:jc w:val="center"/>
              <w:rPr>
                <w:rFonts w:cs="Thorndale for VST"/>
              </w:rPr>
            </w:pPr>
            <w:r w:rsidRPr="006A1091">
              <w:rPr>
                <w:rFonts w:cs="Thorndale for VST"/>
              </w:rPr>
              <w:t>693</w:t>
            </w:r>
          </w:p>
        </w:tc>
      </w:tr>
      <w:tr w:rsidR="00E114F0" w:rsidRPr="006A1091" w14:paraId="0135E2E6" w14:textId="77777777" w:rsidTr="00FD3585">
        <w:trPr>
          <w:trHeight w:val="475"/>
        </w:trPr>
        <w:tc>
          <w:tcPr>
            <w:tcW w:w="4961" w:type="dxa"/>
          </w:tcPr>
          <w:p w14:paraId="2FD9B9A8" w14:textId="77777777" w:rsidR="00593DD9" w:rsidRPr="006A1091" w:rsidRDefault="00593DD9" w:rsidP="00FD3585">
            <w:pPr>
              <w:autoSpaceDE w:val="0"/>
              <w:autoSpaceDN w:val="0"/>
              <w:adjustRightInd w:val="0"/>
              <w:rPr>
                <w:rFonts w:cs="Thorndale for VST"/>
              </w:rPr>
            </w:pPr>
            <w:r w:rsidRPr="006A1091">
              <w:rPr>
                <w:rFonts w:cs="Thorndale for VST"/>
              </w:rPr>
              <w:t>Common stock repurchases</w:t>
            </w:r>
          </w:p>
        </w:tc>
        <w:tc>
          <w:tcPr>
            <w:tcW w:w="2268" w:type="dxa"/>
          </w:tcPr>
          <w:p w14:paraId="4EB42AC9" w14:textId="498B90FF" w:rsidR="00593DD9" w:rsidRPr="006A1091" w:rsidRDefault="00E96B2C" w:rsidP="00E96B2C">
            <w:pPr>
              <w:autoSpaceDE w:val="0"/>
              <w:autoSpaceDN w:val="0"/>
              <w:adjustRightInd w:val="0"/>
              <w:jc w:val="center"/>
              <w:rPr>
                <w:rFonts w:cs="Thorndale for VST"/>
              </w:rPr>
            </w:pPr>
            <w:r w:rsidRPr="006A1091">
              <w:rPr>
                <w:rFonts w:cs="Thorndale for VST"/>
              </w:rPr>
              <w:t>7</w:t>
            </w:r>
            <w:r w:rsidR="00593DD9" w:rsidRPr="006A1091">
              <w:rPr>
                <w:rFonts w:cs="Thorndale for VST"/>
              </w:rPr>
              <w:t>9</w:t>
            </w:r>
            <w:r w:rsidRPr="006A1091">
              <w:rPr>
                <w:rFonts w:cs="Thorndale for VST"/>
              </w:rPr>
              <w:t>6</w:t>
            </w:r>
          </w:p>
        </w:tc>
        <w:tc>
          <w:tcPr>
            <w:tcW w:w="1955" w:type="dxa"/>
          </w:tcPr>
          <w:p w14:paraId="70DA492B" w14:textId="2F8F9A91" w:rsidR="00593DD9" w:rsidRPr="006A1091" w:rsidRDefault="00593DD9" w:rsidP="00E96B2C">
            <w:pPr>
              <w:autoSpaceDE w:val="0"/>
              <w:autoSpaceDN w:val="0"/>
              <w:adjustRightInd w:val="0"/>
              <w:jc w:val="center"/>
              <w:rPr>
                <w:rFonts w:cs="Thorndale for VST"/>
              </w:rPr>
            </w:pPr>
            <w:r w:rsidRPr="006A1091">
              <w:rPr>
                <w:rFonts w:cs="Thorndale for VST"/>
              </w:rPr>
              <w:t>1,</w:t>
            </w:r>
            <w:r w:rsidR="00E96B2C" w:rsidRPr="006A1091">
              <w:rPr>
                <w:rFonts w:cs="Thorndale for VST"/>
              </w:rPr>
              <w:t>548</w:t>
            </w:r>
          </w:p>
        </w:tc>
      </w:tr>
    </w:tbl>
    <w:p w14:paraId="0B4E30CE" w14:textId="77777777" w:rsidR="00593DD9" w:rsidRPr="006A1091" w:rsidRDefault="00593DD9" w:rsidP="00593DD9">
      <w:pPr>
        <w:autoSpaceDE w:val="0"/>
        <w:autoSpaceDN w:val="0"/>
        <w:adjustRightInd w:val="0"/>
        <w:spacing w:after="0" w:line="240" w:lineRule="auto"/>
        <w:rPr>
          <w:rFonts w:cs="Thorndale for VST"/>
        </w:rPr>
      </w:pPr>
      <w:r w:rsidRPr="006A1091">
        <w:rPr>
          <w:rFonts w:cs="Thorndale for VST"/>
        </w:rPr>
        <w:t xml:space="preserve"> </w:t>
      </w:r>
    </w:p>
    <w:p w14:paraId="51B2F87F" w14:textId="77777777" w:rsidR="00593DD9" w:rsidRPr="006A1091" w:rsidRDefault="00593DD9" w:rsidP="00593DD9">
      <w:pPr>
        <w:autoSpaceDE w:val="0"/>
        <w:autoSpaceDN w:val="0"/>
        <w:adjustRightInd w:val="0"/>
        <w:spacing w:after="0" w:line="240" w:lineRule="auto"/>
        <w:rPr>
          <w:rFonts w:cs="Thorndale for VST"/>
        </w:rPr>
      </w:pPr>
      <w:r w:rsidRPr="006A1091">
        <w:rPr>
          <w:rFonts w:cs="Thorndale for VST"/>
        </w:rPr>
        <w:t>The firm has no preferred stock.</w:t>
      </w:r>
    </w:p>
    <w:p w14:paraId="59F4052D" w14:textId="374CB4E2" w:rsidR="00593DD9" w:rsidRPr="006A1091" w:rsidRDefault="00593DD9" w:rsidP="00593DD9">
      <w:pPr>
        <w:autoSpaceDE w:val="0"/>
        <w:autoSpaceDN w:val="0"/>
        <w:adjustRightInd w:val="0"/>
        <w:spacing w:after="0" w:line="240" w:lineRule="auto"/>
        <w:rPr>
          <w:rFonts w:cs="Thorndale for VST"/>
        </w:rPr>
      </w:pPr>
      <w:r w:rsidRPr="006A1091">
        <w:rPr>
          <w:rFonts w:cs="Thorndale for VST"/>
        </w:rPr>
        <w:t>For fiscal 201</w:t>
      </w:r>
      <w:r w:rsidR="00E96B2C" w:rsidRPr="006A1091">
        <w:rPr>
          <w:rFonts w:cs="Thorndale for VST"/>
        </w:rPr>
        <w:t>6</w:t>
      </w:r>
      <w:r w:rsidRPr="006A1091">
        <w:rPr>
          <w:rFonts w:cs="Thorndale for VST"/>
        </w:rPr>
        <w:t xml:space="preserve">, calculate </w:t>
      </w:r>
    </w:p>
    <w:p w14:paraId="01777A33" w14:textId="77777777" w:rsidR="00593DD9" w:rsidRPr="006A1091" w:rsidRDefault="00593DD9" w:rsidP="00593DD9">
      <w:pPr>
        <w:autoSpaceDE w:val="0"/>
        <w:autoSpaceDN w:val="0"/>
        <w:adjustRightInd w:val="0"/>
        <w:spacing w:after="0" w:line="240" w:lineRule="auto"/>
        <w:rPr>
          <w:rFonts w:cs="Thorndale for VST"/>
        </w:rPr>
      </w:pPr>
      <w:r w:rsidRPr="006A1091">
        <w:rPr>
          <w:rFonts w:cs="Thorndale for VST"/>
        </w:rPr>
        <w:t xml:space="preserve">a. Total liabilities at year end. </w:t>
      </w:r>
    </w:p>
    <w:p w14:paraId="5F97AAC0" w14:textId="77777777" w:rsidR="00593DD9" w:rsidRDefault="00593DD9" w:rsidP="00593DD9">
      <w:pPr>
        <w:autoSpaceDE w:val="0"/>
        <w:autoSpaceDN w:val="0"/>
        <w:adjustRightInd w:val="0"/>
        <w:spacing w:after="0" w:line="240" w:lineRule="auto"/>
        <w:rPr>
          <w:rFonts w:cs="Thorndale for VST"/>
        </w:rPr>
      </w:pPr>
      <w:r w:rsidRPr="006A1091">
        <w:rPr>
          <w:rFonts w:cs="Thorndale for VST"/>
        </w:rPr>
        <w:t>b. Comprehensive income for the year.</w:t>
      </w:r>
    </w:p>
    <w:p w14:paraId="551939F4" w14:textId="77777777" w:rsidR="00EF0826" w:rsidRPr="006A1091" w:rsidRDefault="00EF0826" w:rsidP="00593DD9">
      <w:pPr>
        <w:autoSpaceDE w:val="0"/>
        <w:autoSpaceDN w:val="0"/>
        <w:adjustRightInd w:val="0"/>
        <w:spacing w:after="0" w:line="240" w:lineRule="auto"/>
        <w:rPr>
          <w:rFonts w:cs="Thorndale for VST"/>
        </w:rPr>
      </w:pPr>
    </w:p>
    <w:p w14:paraId="4D365344" w14:textId="09544BDB" w:rsidR="00FB1329" w:rsidRPr="006A1091" w:rsidRDefault="00FB1329" w:rsidP="00751BBD">
      <w:pPr>
        <w:spacing w:after="0" w:line="240" w:lineRule="auto"/>
        <w:rPr>
          <w:b/>
          <w:u w:val="single"/>
        </w:rPr>
      </w:pPr>
      <w:r w:rsidRPr="006A1091">
        <w:rPr>
          <w:b/>
          <w:u w:val="single"/>
        </w:rPr>
        <w:t>Answer:</w:t>
      </w:r>
    </w:p>
    <w:p w14:paraId="69FF338C" w14:textId="77777777" w:rsidR="00FB1329" w:rsidRPr="006A1091" w:rsidRDefault="00FB1329" w:rsidP="00751BBD">
      <w:pPr>
        <w:numPr>
          <w:ilvl w:val="0"/>
          <w:numId w:val="4"/>
        </w:numPr>
        <w:spacing w:after="0" w:line="240" w:lineRule="auto"/>
      </w:pPr>
      <w:r w:rsidRPr="006A1091">
        <w:t>Total liabilities = Total assets – stockholders’ equity</w:t>
      </w:r>
    </w:p>
    <w:p w14:paraId="53B394F4" w14:textId="77777777" w:rsidR="00751BBD" w:rsidRPr="006A1091" w:rsidRDefault="00B45194" w:rsidP="00751BBD">
      <w:pPr>
        <w:spacing w:after="0" w:line="240" w:lineRule="auto"/>
      </w:pPr>
      <w:r w:rsidRPr="006A1091">
        <w:tab/>
      </w:r>
      <w:r w:rsidRPr="006A1091">
        <w:tab/>
      </w:r>
      <w:r w:rsidRPr="006A1091">
        <w:tab/>
        <w:t xml:space="preserve"> =</w:t>
      </w:r>
      <w:r w:rsidR="00FB1329" w:rsidRPr="006A1091">
        <w:t>18,691– 6,893</w:t>
      </w:r>
    </w:p>
    <w:p w14:paraId="097AB566" w14:textId="2B662B42" w:rsidR="00B45194" w:rsidRPr="006A1091" w:rsidRDefault="00B45194" w:rsidP="00751BBD">
      <w:pPr>
        <w:spacing w:after="0" w:line="240" w:lineRule="auto"/>
        <w:ind w:left="1440" w:firstLine="720"/>
      </w:pPr>
      <w:r w:rsidRPr="006A1091">
        <w:t xml:space="preserve"> =11,798</w:t>
      </w:r>
    </w:p>
    <w:p w14:paraId="462FD5AD" w14:textId="77777777" w:rsidR="00B45194" w:rsidRPr="006A1091" w:rsidRDefault="00B45194" w:rsidP="00751BBD">
      <w:pPr>
        <w:spacing w:after="0" w:line="240" w:lineRule="auto"/>
      </w:pPr>
      <w:r w:rsidRPr="006A1091">
        <w:t>(b)</w:t>
      </w:r>
      <w:r w:rsidRPr="006A1091">
        <w:tab/>
        <w:t xml:space="preserve">Total Equity (end) = Total Equity (beginning) + Comprehensive </w:t>
      </w:r>
    </w:p>
    <w:p w14:paraId="34252B36" w14:textId="100BCD68" w:rsidR="00B45194" w:rsidRPr="006A1091" w:rsidRDefault="00B45194" w:rsidP="00751BBD">
      <w:pPr>
        <w:spacing w:after="0" w:line="240" w:lineRule="auto"/>
      </w:pPr>
      <w:r w:rsidRPr="006A1091">
        <w:tab/>
      </w:r>
      <w:r w:rsidRPr="006A1091">
        <w:tab/>
      </w:r>
      <w:r w:rsidRPr="006A1091">
        <w:tab/>
      </w:r>
      <w:r w:rsidRPr="006A1091">
        <w:tab/>
        <w:t>Income – Net Payout to Common Shareholders</w:t>
      </w:r>
    </w:p>
    <w:p w14:paraId="10F77689" w14:textId="79C8146E" w:rsidR="00B45194" w:rsidRPr="006A1091" w:rsidRDefault="00751BBD" w:rsidP="00751BBD">
      <w:pPr>
        <w:spacing w:after="0" w:line="240" w:lineRule="auto"/>
        <w:ind w:left="2220"/>
      </w:pPr>
      <w:r w:rsidRPr="006A1091">
        <w:t xml:space="preserve">      =&gt; </w:t>
      </w:r>
      <w:r w:rsidR="00B45194" w:rsidRPr="006A1091">
        <w:t>6,893= 6,617+ ? – 844</w:t>
      </w:r>
    </w:p>
    <w:p w14:paraId="008B16ED" w14:textId="16A25648" w:rsidR="00B45194" w:rsidRPr="006A1091" w:rsidRDefault="00B45194" w:rsidP="00751BBD">
      <w:pPr>
        <w:spacing w:after="0" w:line="240" w:lineRule="auto"/>
        <w:ind w:left="780" w:firstLine="660"/>
      </w:pPr>
      <w:r w:rsidRPr="006A1091">
        <w:t xml:space="preserve">     </w:t>
      </w:r>
      <w:r w:rsidR="00751BBD" w:rsidRPr="006A1091">
        <w:tab/>
        <w:t xml:space="preserve">       =&gt;  </w:t>
      </w:r>
      <w:r w:rsidRPr="006A1091">
        <w:t>?   = 1120</w:t>
      </w:r>
    </w:p>
    <w:p w14:paraId="72FB3B91" w14:textId="77777777" w:rsidR="00B45194" w:rsidRPr="006A1091" w:rsidRDefault="00B45194" w:rsidP="00751BBD">
      <w:pPr>
        <w:spacing w:after="0" w:line="240" w:lineRule="auto"/>
      </w:pPr>
      <w:r w:rsidRPr="006A1091">
        <w:t>Net payout to common = cash dividends + stock purchases – share issues</w:t>
      </w:r>
    </w:p>
    <w:p w14:paraId="2B290FBB" w14:textId="6CD4D208" w:rsidR="00B45194" w:rsidRPr="006A1091" w:rsidRDefault="00B45194" w:rsidP="00751BBD">
      <w:pPr>
        <w:spacing w:after="0" w:line="240" w:lineRule="auto"/>
      </w:pPr>
      <w:r w:rsidRPr="006A1091">
        <w:t xml:space="preserve">                                    </w:t>
      </w:r>
      <w:r w:rsidR="00751BBD" w:rsidRPr="006A1091">
        <w:t xml:space="preserve">      </w:t>
      </w:r>
      <w:r w:rsidRPr="006A1091">
        <w:t xml:space="preserve"> = 753 + 796 - 705</w:t>
      </w:r>
    </w:p>
    <w:p w14:paraId="614D4715" w14:textId="3B8A80DB" w:rsidR="00B45194" w:rsidRPr="006A1091" w:rsidRDefault="00B45194" w:rsidP="00751BBD">
      <w:pPr>
        <w:spacing w:after="0" w:line="240" w:lineRule="auto"/>
      </w:pPr>
      <w:r w:rsidRPr="006A1091">
        <w:t xml:space="preserve">                                     </w:t>
      </w:r>
      <w:r w:rsidR="00751BBD" w:rsidRPr="006A1091">
        <w:t xml:space="preserve">     </w:t>
      </w:r>
      <w:r w:rsidRPr="006A1091">
        <w:t>= 844</w:t>
      </w:r>
    </w:p>
    <w:p w14:paraId="318FEA1F" w14:textId="77777777" w:rsidR="00B45194" w:rsidRPr="006A1091" w:rsidRDefault="00B45194" w:rsidP="00FB1329">
      <w:pPr>
        <w:spacing w:line="480" w:lineRule="auto"/>
      </w:pPr>
    </w:p>
    <w:p w14:paraId="41CB5E6F" w14:textId="74FBF0F5" w:rsidR="00636EED" w:rsidRDefault="00636EED" w:rsidP="00636EED">
      <w:pPr>
        <w:autoSpaceDE w:val="0"/>
        <w:autoSpaceDN w:val="0"/>
        <w:adjustRightInd w:val="0"/>
        <w:spacing w:after="0" w:line="240" w:lineRule="auto"/>
        <w:rPr>
          <w:rFonts w:cs="Times New Roman"/>
          <w:sz w:val="24"/>
          <w:szCs w:val="24"/>
        </w:rPr>
      </w:pPr>
      <w:r>
        <w:rPr>
          <w:rFonts w:cs="Times New Roman"/>
          <w:b/>
          <w:sz w:val="24"/>
          <w:szCs w:val="24"/>
        </w:rPr>
        <w:t xml:space="preserve">Question </w:t>
      </w:r>
      <w:r w:rsidR="00D8555D">
        <w:rPr>
          <w:rFonts w:cs="Times New Roman"/>
          <w:b/>
          <w:sz w:val="24"/>
          <w:szCs w:val="24"/>
        </w:rPr>
        <w:t>6</w:t>
      </w:r>
      <w:r>
        <w:rPr>
          <w:rFonts w:cs="Times New Roman"/>
          <w:b/>
          <w:sz w:val="24"/>
          <w:szCs w:val="24"/>
        </w:rPr>
        <w:t>:</w:t>
      </w:r>
      <w:r>
        <w:rPr>
          <w:rFonts w:cs="Times New Roman"/>
          <w:sz w:val="24"/>
          <w:szCs w:val="24"/>
        </w:rPr>
        <w:t xml:space="preserve"> Discussion on chapter-end questions.</w:t>
      </w:r>
    </w:p>
    <w:p w14:paraId="3645AA66" w14:textId="77777777" w:rsidR="00E15233" w:rsidRDefault="00E15233" w:rsidP="00636EED">
      <w:pPr>
        <w:autoSpaceDE w:val="0"/>
        <w:autoSpaceDN w:val="0"/>
        <w:adjustRightInd w:val="0"/>
        <w:spacing w:after="0" w:line="240" w:lineRule="auto"/>
        <w:rPr>
          <w:rFonts w:cs="Times New Roman"/>
          <w:sz w:val="24"/>
          <w:szCs w:val="24"/>
        </w:rPr>
      </w:pPr>
    </w:p>
    <w:p w14:paraId="38254852" w14:textId="207F1840" w:rsidR="00FB1329" w:rsidRPr="006A1091" w:rsidRDefault="00636EED" w:rsidP="008E7043">
      <w:pPr>
        <w:rPr>
          <w:b/>
        </w:rPr>
      </w:pPr>
      <w:r>
        <w:rPr>
          <w:b/>
        </w:rPr>
        <w:t>Answer: Please see the uploaded file under Week 1 folder – “</w:t>
      </w:r>
      <w:r w:rsidRPr="00636EED">
        <w:rPr>
          <w:b/>
        </w:rPr>
        <w:t>Chapter end question-solution W1</w:t>
      </w:r>
      <w:r>
        <w:rPr>
          <w:b/>
        </w:rPr>
        <w:t>”</w:t>
      </w:r>
    </w:p>
    <w:sectPr w:rsidR="00FB1329" w:rsidRPr="006A1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horndale for VST">
    <w:altName w:val="Times New Roman"/>
    <w:charset w:val="00"/>
    <w:family w:val="roman"/>
    <w:pitch w:val="variable"/>
    <w:sig w:usb0="00000287" w:usb1="000004E8"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47ACF"/>
    <w:multiLevelType w:val="hybridMultilevel"/>
    <w:tmpl w:val="9C82B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C023CC"/>
    <w:multiLevelType w:val="hybridMultilevel"/>
    <w:tmpl w:val="85D4B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8914BC"/>
    <w:multiLevelType w:val="singleLevel"/>
    <w:tmpl w:val="2910AFAA"/>
    <w:lvl w:ilvl="0">
      <w:start w:val="1"/>
      <w:numFmt w:val="lowerLetter"/>
      <w:lvlText w:val="(%1)"/>
      <w:lvlJc w:val="left"/>
      <w:pPr>
        <w:tabs>
          <w:tab w:val="num" w:pos="720"/>
        </w:tabs>
        <w:ind w:left="720" w:hanging="720"/>
      </w:pPr>
      <w:rPr>
        <w:rFonts w:hint="default"/>
      </w:rPr>
    </w:lvl>
  </w:abstractNum>
  <w:abstractNum w:abstractNumId="3" w15:restartNumberingAfterBreak="0">
    <w:nsid w:val="7A282BF0"/>
    <w:multiLevelType w:val="hybridMultilevel"/>
    <w:tmpl w:val="F70E9AB2"/>
    <w:lvl w:ilvl="0" w:tplc="229E8A4C">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44135588">
    <w:abstractNumId w:val="1"/>
  </w:num>
  <w:num w:numId="2" w16cid:durableId="1948196657">
    <w:abstractNumId w:val="0"/>
  </w:num>
  <w:num w:numId="3" w16cid:durableId="590352039">
    <w:abstractNumId w:val="3"/>
  </w:num>
  <w:num w:numId="4" w16cid:durableId="405301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wMrcwNzG0NDQ1MLRU0lEKTi0uzszPAykwqQUAVakIoCwAAAA="/>
  </w:docVars>
  <w:rsids>
    <w:rsidRoot w:val="00800D33"/>
    <w:rsid w:val="000931FF"/>
    <w:rsid w:val="000F7FAC"/>
    <w:rsid w:val="00151A59"/>
    <w:rsid w:val="00161AE7"/>
    <w:rsid w:val="00165340"/>
    <w:rsid w:val="00183DDF"/>
    <w:rsid w:val="001C3A84"/>
    <w:rsid w:val="001C7D82"/>
    <w:rsid w:val="001E3716"/>
    <w:rsid w:val="00205F2E"/>
    <w:rsid w:val="002110D8"/>
    <w:rsid w:val="00412AC5"/>
    <w:rsid w:val="004442F0"/>
    <w:rsid w:val="00492DC1"/>
    <w:rsid w:val="004B4233"/>
    <w:rsid w:val="004D3FE4"/>
    <w:rsid w:val="004E086B"/>
    <w:rsid w:val="00513A8A"/>
    <w:rsid w:val="00560E3D"/>
    <w:rsid w:val="00566EA7"/>
    <w:rsid w:val="00570337"/>
    <w:rsid w:val="00593DD9"/>
    <w:rsid w:val="005D0388"/>
    <w:rsid w:val="00607C66"/>
    <w:rsid w:val="00636EED"/>
    <w:rsid w:val="006925DA"/>
    <w:rsid w:val="006A1091"/>
    <w:rsid w:val="0074790A"/>
    <w:rsid w:val="00751BBD"/>
    <w:rsid w:val="00753B6B"/>
    <w:rsid w:val="00762577"/>
    <w:rsid w:val="007C22F1"/>
    <w:rsid w:val="00800D33"/>
    <w:rsid w:val="00864C40"/>
    <w:rsid w:val="00894447"/>
    <w:rsid w:val="008E7043"/>
    <w:rsid w:val="009175F9"/>
    <w:rsid w:val="00950B62"/>
    <w:rsid w:val="00991633"/>
    <w:rsid w:val="009A34F5"/>
    <w:rsid w:val="00A31411"/>
    <w:rsid w:val="00AE077B"/>
    <w:rsid w:val="00B45194"/>
    <w:rsid w:val="00C2579F"/>
    <w:rsid w:val="00C30DF3"/>
    <w:rsid w:val="00C31A48"/>
    <w:rsid w:val="00CB3D25"/>
    <w:rsid w:val="00CD56AF"/>
    <w:rsid w:val="00D21D60"/>
    <w:rsid w:val="00D418E2"/>
    <w:rsid w:val="00D50D75"/>
    <w:rsid w:val="00D54FD0"/>
    <w:rsid w:val="00D604E5"/>
    <w:rsid w:val="00D71908"/>
    <w:rsid w:val="00D8555D"/>
    <w:rsid w:val="00DB3AE4"/>
    <w:rsid w:val="00DB3E18"/>
    <w:rsid w:val="00DE04F7"/>
    <w:rsid w:val="00E114F0"/>
    <w:rsid w:val="00E15233"/>
    <w:rsid w:val="00E70AD6"/>
    <w:rsid w:val="00E74665"/>
    <w:rsid w:val="00E94F07"/>
    <w:rsid w:val="00E96B2C"/>
    <w:rsid w:val="00EB07FE"/>
    <w:rsid w:val="00EF0826"/>
    <w:rsid w:val="00F208A3"/>
    <w:rsid w:val="00F67DA0"/>
    <w:rsid w:val="00F96EFC"/>
    <w:rsid w:val="00FB1329"/>
    <w:rsid w:val="00FD454C"/>
    <w:rsid w:val="00FE53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6960"/>
  <w15:chartTrackingRefBased/>
  <w15:docId w15:val="{C3E1E740-1552-4AF3-A7F6-E083234C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08A3"/>
    <w:pPr>
      <w:ind w:left="720"/>
      <w:contextualSpacing/>
    </w:pPr>
  </w:style>
  <w:style w:type="character" w:styleId="CommentReference">
    <w:name w:val="annotation reference"/>
    <w:basedOn w:val="DefaultParagraphFont"/>
    <w:uiPriority w:val="99"/>
    <w:semiHidden/>
    <w:unhideWhenUsed/>
    <w:rsid w:val="00D54FD0"/>
    <w:rPr>
      <w:sz w:val="16"/>
      <w:szCs w:val="16"/>
    </w:rPr>
  </w:style>
  <w:style w:type="paragraph" w:styleId="CommentText">
    <w:name w:val="annotation text"/>
    <w:basedOn w:val="Normal"/>
    <w:link w:val="CommentTextChar"/>
    <w:uiPriority w:val="99"/>
    <w:semiHidden/>
    <w:unhideWhenUsed/>
    <w:rsid w:val="00D54FD0"/>
    <w:pPr>
      <w:spacing w:line="240" w:lineRule="auto"/>
    </w:pPr>
    <w:rPr>
      <w:sz w:val="20"/>
      <w:szCs w:val="20"/>
    </w:rPr>
  </w:style>
  <w:style w:type="character" w:customStyle="1" w:styleId="CommentTextChar">
    <w:name w:val="Comment Text Char"/>
    <w:basedOn w:val="DefaultParagraphFont"/>
    <w:link w:val="CommentText"/>
    <w:uiPriority w:val="99"/>
    <w:semiHidden/>
    <w:rsid w:val="00D54FD0"/>
    <w:rPr>
      <w:sz w:val="20"/>
      <w:szCs w:val="20"/>
    </w:rPr>
  </w:style>
  <w:style w:type="paragraph" w:styleId="CommentSubject">
    <w:name w:val="annotation subject"/>
    <w:basedOn w:val="CommentText"/>
    <w:next w:val="CommentText"/>
    <w:link w:val="CommentSubjectChar"/>
    <w:uiPriority w:val="99"/>
    <w:semiHidden/>
    <w:unhideWhenUsed/>
    <w:rsid w:val="00D54FD0"/>
    <w:rPr>
      <w:b/>
      <w:bCs/>
    </w:rPr>
  </w:style>
  <w:style w:type="character" w:customStyle="1" w:styleId="CommentSubjectChar">
    <w:name w:val="Comment Subject Char"/>
    <w:basedOn w:val="CommentTextChar"/>
    <w:link w:val="CommentSubject"/>
    <w:uiPriority w:val="99"/>
    <w:semiHidden/>
    <w:rsid w:val="00D54FD0"/>
    <w:rPr>
      <w:b/>
      <w:bCs/>
      <w:sz w:val="20"/>
      <w:szCs w:val="20"/>
    </w:rPr>
  </w:style>
  <w:style w:type="paragraph" w:styleId="BalloonText">
    <w:name w:val="Balloon Text"/>
    <w:basedOn w:val="Normal"/>
    <w:link w:val="BalloonTextChar"/>
    <w:uiPriority w:val="99"/>
    <w:semiHidden/>
    <w:unhideWhenUsed/>
    <w:rsid w:val="00D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FD0"/>
    <w:rPr>
      <w:rFonts w:ascii="Segoe UI" w:hAnsi="Segoe UI" w:cs="Segoe UI"/>
      <w:sz w:val="18"/>
      <w:szCs w:val="18"/>
    </w:rPr>
  </w:style>
  <w:style w:type="character" w:styleId="Hyperlink">
    <w:name w:val="Hyperlink"/>
    <w:basedOn w:val="DefaultParagraphFont"/>
    <w:uiPriority w:val="99"/>
    <w:semiHidden/>
    <w:unhideWhenUsed/>
    <w:rsid w:val="00607C66"/>
    <w:rPr>
      <w:strike w:val="0"/>
      <w:dstrike w:val="0"/>
      <w:color w:val="005B9D"/>
      <w:u w:val="none"/>
      <w:effect w:val="none"/>
    </w:rPr>
  </w:style>
  <w:style w:type="paragraph" w:styleId="NormalWeb">
    <w:name w:val="Normal (Web)"/>
    <w:basedOn w:val="Normal"/>
    <w:uiPriority w:val="99"/>
    <w:unhideWhenUsed/>
    <w:rsid w:val="0057033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65704">
      <w:bodyDiv w:val="1"/>
      <w:marLeft w:val="0"/>
      <w:marRight w:val="0"/>
      <w:marTop w:val="0"/>
      <w:marBottom w:val="0"/>
      <w:divBdr>
        <w:top w:val="none" w:sz="0" w:space="0" w:color="auto"/>
        <w:left w:val="none" w:sz="0" w:space="0" w:color="auto"/>
        <w:bottom w:val="none" w:sz="0" w:space="0" w:color="auto"/>
        <w:right w:val="none" w:sz="0" w:space="0" w:color="auto"/>
      </w:divBdr>
    </w:div>
    <w:div w:id="1039670832">
      <w:bodyDiv w:val="1"/>
      <w:marLeft w:val="0"/>
      <w:marRight w:val="0"/>
      <w:marTop w:val="0"/>
      <w:marBottom w:val="0"/>
      <w:divBdr>
        <w:top w:val="none" w:sz="0" w:space="0" w:color="auto"/>
        <w:left w:val="none" w:sz="0" w:space="0" w:color="auto"/>
        <w:bottom w:val="none" w:sz="0" w:space="0" w:color="auto"/>
        <w:right w:val="none" w:sz="0" w:space="0" w:color="auto"/>
      </w:divBdr>
    </w:div>
    <w:div w:id="1775902012">
      <w:bodyDiv w:val="1"/>
      <w:marLeft w:val="0"/>
      <w:marRight w:val="0"/>
      <w:marTop w:val="0"/>
      <w:marBottom w:val="0"/>
      <w:divBdr>
        <w:top w:val="none" w:sz="0" w:space="0" w:color="auto"/>
        <w:left w:val="none" w:sz="0" w:space="0" w:color="auto"/>
        <w:bottom w:val="none" w:sz="0" w:space="0" w:color="auto"/>
        <w:right w:val="none" w:sz="0" w:space="0" w:color="auto"/>
      </w:divBdr>
    </w:div>
    <w:div w:id="188062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vestopedia.com/terms/c/currentasset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1113</Words>
  <Characters>5432</Characters>
  <Application>Microsoft Office Word</Application>
  <DocSecurity>0</DocSecurity>
  <Lines>208</Lines>
  <Paragraphs>152</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Hasan</dc:creator>
  <cp:keywords/>
  <dc:description/>
  <cp:lastModifiedBy>Siwen Song</cp:lastModifiedBy>
  <cp:revision>36</cp:revision>
  <dcterms:created xsi:type="dcterms:W3CDTF">2017-02-04T19:25:00Z</dcterms:created>
  <dcterms:modified xsi:type="dcterms:W3CDTF">2023-06-13T05:42:00Z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c129f670a480d35cd872f74cf04d979fbbaf3001d454e2bd8d94d187f59357c1</vt:lpwstr>
  </property>
</Properties>
</file>