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3864"/>
          <w:sz w:val="40"/>
          <w:szCs w:val="40"/>
        </w:rPr>
        <w:t xml:space="preserve">European on-demand digital manufacturing</w:t>
      </w:r>
    </w:p>
    <w:p>
      <w:pPr>
        <w:spacing w:after="40"/>
      </w:pPr>
      <w:r>
        <w:rPr>
          <w:rFonts w:ascii="Arial" w:cs="Arial" w:eastAsia="Arial" w:hAnsi="Arial"/>
          <w:color w:val="595959"/>
          <w:sz w:val="24"/>
          <w:szCs w:val="24"/>
        </w:rPr>
        <w:t xml:space="preserve">Competitive audit and market entry assessment. 3D printing first, CNC second.</w:t>
      </w:r>
    </w:p>
    <w:p>
      <w:pPr>
        <w:spacing w:after="200"/>
      </w:pPr>
      <w:r>
        <w:rPr>
          <w:rFonts w:ascii="Arial" w:cs="Arial" w:eastAsia="Arial" w:hAnsi="Arial"/>
          <w:i/>
          <w:iCs/>
          <w:color w:val="595959"/>
          <w:sz w:val="18"/>
          <w:szCs w:val="18"/>
        </w:rPr>
        <w:t xml:space="preserve">Prepared 14 July 2026. Internal, for a go/no-go decision on a Poland-based venture. Companion files: Excel workbook (competitor matrix, pricing benchmark, editable CAPEX and unit economics models) and one summary slide.</w:t>
      </w:r>
    </w:p>
    <w:p>
      <w:pPr>
        <w:pStyle w:val="Heading1"/>
        <w:spacing w:after="160" w:before="280"/>
      </w:pPr>
      <w:r>
        <w:rPr>
          <w:rFonts w:ascii="Arial" w:cs="Arial" w:eastAsia="Arial" w:hAnsi="Arial"/>
          <w:b/>
          <w:bCs/>
          <w:color w:val="1F3864"/>
          <w:sz w:val="30"/>
          <w:szCs w:val="30"/>
        </w:rPr>
        <w:t xml:space="preserve">Executive summary</w:t>
      </w:r>
    </w:p>
    <w:p>
      <w:pPr>
        <w:spacing w:after="120" w:line="264" w:lineRule="auto"/>
      </w:pPr>
      <w:r>
        <w:rPr>
          <w:rFonts w:ascii="Arial" w:cs="Arial" w:eastAsia="Arial" w:hAnsi="Arial"/>
          <w:b/>
          <w:bCs/>
          <w:i w:val="false"/>
          <w:iCs w:val="false"/>
          <w:color w:val="000000"/>
          <w:sz w:val="21"/>
          <w:szCs w:val="21"/>
        </w:rPr>
        <w:t xml:space="preserve">Verdict: conditional go. </w:t>
      </w:r>
      <w:r>
        <w:rPr>
          <w:rFonts w:ascii="Arial" w:cs="Arial" w:eastAsia="Arial" w:hAnsi="Arial"/>
          <w:b w:val="false"/>
          <w:bCs w:val="false"/>
          <w:i w:val="false"/>
          <w:iCs w:val="false"/>
          <w:color w:val="000000"/>
          <w:sz w:val="21"/>
          <w:szCs w:val="21"/>
        </w:rPr>
        <w:t xml:space="preserve">The asset-heavy hypothesis holds. The window is real, but two clocks are running: Chinese providers are localizing their tactics after the July 2026 customs change, and Weerg, the model to beat, is openly for sale.</w:t>
      </w:r>
    </w:p>
    <w:p>
      <w:pPr>
        <w:spacing w:after="120" w:line="264" w:lineRule="auto"/>
      </w:pPr>
      <w:r>
        <w:rPr>
          <w:rFonts w:ascii="Arial" w:cs="Arial" w:eastAsia="Arial" w:hAnsi="Arial"/>
          <w:b/>
          <w:bCs/>
          <w:i w:val="false"/>
          <w:iCs w:val="false"/>
          <w:color w:val="000000"/>
          <w:sz w:val="21"/>
          <w:szCs w:val="21"/>
        </w:rPr>
        <w:t xml:space="preserve">Assets beat take rates. </w:t>
      </w:r>
      <w:r>
        <w:rPr>
          <w:rFonts w:ascii="Arial" w:cs="Arial" w:eastAsia="Arial" w:hAnsi="Arial"/>
          <w:b w:val="false"/>
          <w:bCs w:val="false"/>
          <w:i w:val="false"/>
          <w:iCs w:val="false"/>
          <w:color w:val="000000"/>
          <w:sz w:val="21"/>
          <w:szCs w:val="21"/>
        </w:rPr>
        <w:t xml:space="preserve">Weerg filed EUR 13.6M revenue and EUR 1.75M net profit for FY2024 and reports about EUR 18M revenue at about 40% EBITDA for 2025, from one plant with 28-30 identical HP MJF machines [1][2]. Xometry's international segment lost USD 12.5M in adjusted EBITDA on USD 112.9M revenue in FY2025 despite 27% growth [5]. Protolabs earns its profit in its own factories (about 49% gross margin), not in its partner network (about 29% implied) [3]. No European pure marketplace shows evidence of sustained profitability.</w:t>
      </w:r>
    </w:p>
    <w:p>
      <w:pPr>
        <w:spacing w:after="120" w:line="264" w:lineRule="auto"/>
      </w:pPr>
      <w:r>
        <w:rPr>
          <w:rFonts w:ascii="Arial" w:cs="Arial" w:eastAsia="Arial" w:hAnsi="Arial"/>
          <w:b/>
          <w:bCs/>
          <w:i w:val="false"/>
          <w:iCs w:val="false"/>
          <w:color w:val="000000"/>
          <w:sz w:val="21"/>
          <w:szCs w:val="21"/>
        </w:rPr>
        <w:t xml:space="preserve">The prosumer and SMB segment has been vacated. </w:t>
      </w:r>
      <w:r>
        <w:rPr>
          <w:rFonts w:ascii="Arial" w:cs="Arial" w:eastAsia="Arial" w:hAnsi="Arial"/>
          <w:b w:val="false"/>
          <w:bCs w:val="false"/>
          <w:i w:val="false"/>
          <w:iCs w:val="false"/>
          <w:color w:val="000000"/>
          <w:sz w:val="21"/>
          <w:szCs w:val="21"/>
        </w:rPr>
        <w:t xml:space="preserve">i.materialise stopped taking orders in October 2025 [7]. Shapeways relaunched small after its 2024 bankruptcy [8]. Craftcloud aggregates but does not control quality. EU minimums (Protolabs at a practical USD 95 floor, Xometry at EUR 30 plus an account wall) push small buyers toward JLC3DP and PCBWay [42][32][33]. Nobody runs the SendCutSend playbook in Europe. SendCutSend itself passed USD 100M revenue, raised USD 110M at a USD 1.01B valuation in May 2026, and has no EU plans [11][12].</w:t>
      </w:r>
    </w:p>
    <w:p>
      <w:pPr>
        <w:spacing w:after="120" w:line="264" w:lineRule="auto"/>
      </w:pPr>
      <w:r>
        <w:rPr>
          <w:rFonts w:ascii="Arial" w:cs="Arial" w:eastAsia="Arial" w:hAnsi="Arial"/>
          <w:b/>
          <w:bCs/>
          <w:i w:val="false"/>
          <w:iCs w:val="false"/>
          <w:color w:val="000000"/>
          <w:sz w:val="21"/>
          <w:szCs w:val="21"/>
        </w:rPr>
        <w:t xml:space="preserve">Regulation moved in the venture's favor. </w:t>
      </w:r>
      <w:r>
        <w:rPr>
          <w:rFonts w:ascii="Arial" w:cs="Arial" w:eastAsia="Arial" w:hAnsi="Arial"/>
          <w:b w:val="false"/>
          <w:bCs w:val="false"/>
          <w:i w:val="false"/>
          <w:iCs w:val="false"/>
          <w:color w:val="000000"/>
          <w:sz w:val="21"/>
          <w:szCs w:val="21"/>
        </w:rPr>
        <w:t xml:space="preserve">Since 1 July 2026, every product line in a sub-EUR-150 parcel from outside the EU carries a EUR 3 flat customs duty; full tariffs follow when the EU customs data hub goes live, targeted July 2028 [20][21]. EDIP is in force with a 35% cap on non-EU component cost and an EU design-authority requirement [22][24]. SAFE money is flowing and Poland is the largest recipient at EUR 43.7B [25].</w:t>
      </w:r>
    </w:p>
    <w:p>
      <w:pPr>
        <w:spacing w:after="120" w:line="264" w:lineRule="auto"/>
      </w:pPr>
      <w:r>
        <w:rPr>
          <w:rFonts w:ascii="Arial" w:cs="Arial" w:eastAsia="Arial" w:hAnsi="Arial"/>
          <w:b/>
          <w:bCs/>
          <w:i w:val="false"/>
          <w:iCs w:val="false"/>
          <w:color w:val="000000"/>
          <w:sz w:val="21"/>
          <w:szCs w:val="21"/>
        </w:rPr>
        <w:t xml:space="preserve">Entry CAPEX is modest. </w:t>
      </w:r>
      <w:r>
        <w:rPr>
          <w:rFonts w:ascii="Arial" w:cs="Arial" w:eastAsia="Arial" w:hAnsi="Arial"/>
          <w:b w:val="false"/>
          <w:bCs w:val="false"/>
          <w:i w:val="false"/>
          <w:iCs w:val="false"/>
          <w:color w:val="000000"/>
          <w:sz w:val="21"/>
          <w:szCs w:val="21"/>
        </w:rPr>
        <w:t xml:space="preserve">A 25-unit FDM farm needs about EUR 190k and pays back in about 2 years on conservative assumptions. A single MJF cell needs about EUR 660k and pays back in about 3.7 years at single-machine utilization. Both model at 38-40% EBITDA in steady state, consistent with the Weerg anchor. All assumptions are editable in the workbook.</w:t>
      </w:r>
    </w:p>
    <w:p>
      <w:pPr>
        <w:spacing w:after="120" w:line="264" w:lineRule="auto"/>
      </w:pPr>
      <w:r>
        <w:rPr>
          <w:rFonts w:ascii="Arial" w:cs="Arial" w:eastAsia="Arial" w:hAnsi="Arial"/>
          <w:b/>
          <w:bCs/>
          <w:i w:val="false"/>
          <w:iCs w:val="false"/>
          <w:color w:val="000000"/>
          <w:sz w:val="21"/>
          <w:szCs w:val="21"/>
        </w:rPr>
        <w:t xml:space="preserve">The bottom of the market is hostile. </w:t>
      </w:r>
      <w:r>
        <w:rPr>
          <w:rFonts w:ascii="Arial" w:cs="Arial" w:eastAsia="Arial" w:hAnsi="Arial"/>
          <w:b w:val="false"/>
          <w:bCs w:val="false"/>
          <w:i w:val="false"/>
          <w:iCs w:val="false"/>
          <w:color w:val="000000"/>
          <w:sz w:val="21"/>
          <w:szCs w:val="21"/>
        </w:rPr>
        <w:t xml:space="preserve">JLC3DP sells parts from USD 0.30 [33]. Bambu Lab shipped roughly 2.7M printers a year by 2025 [19]. Commodity FDM one-offs are not a business. Margin lives in MJF and SLS, CNC, finishing, speed, and compliance.</w:t>
      </w:r>
    </w:p>
    <w:p>
      <w:pPr>
        <w:spacing w:after="120" w:line="264" w:lineRule="auto"/>
      </w:pPr>
      <w:r>
        <w:rPr>
          <w:rFonts w:ascii="Arial" w:cs="Arial" w:eastAsia="Arial" w:hAnsi="Arial"/>
          <w:b/>
          <w:bCs/>
          <w:i w:val="false"/>
          <w:iCs w:val="false"/>
          <w:color w:val="000000"/>
          <w:sz w:val="21"/>
          <w:szCs w:val="21"/>
        </w:rPr>
        <w:t xml:space="preserve">Recommendation: </w:t>
      </w:r>
      <w:r>
        <w:rPr>
          <w:rFonts w:ascii="Arial" w:cs="Arial" w:eastAsia="Arial" w:hAnsi="Arial"/>
          <w:b w:val="false"/>
          <w:bCs w:val="false"/>
          <w:i w:val="false"/>
          <w:iCs w:val="false"/>
          <w:color w:val="000000"/>
          <w:sz w:val="21"/>
          <w:szCs w:val="21"/>
        </w:rPr>
        <w:t xml:space="preserve">enter as the DACH-nearshore speed play with prosumer-grade transparency: no-login instant quote, low minimum, D+1/D+2 delivery into Germany, MJF-led with a small FDM farm. Add a defense and dual-use layer (EU-only attestation, ISO 9001 then an AQAP 2110 path) from month 12. Keep phase-1 CAPEX under EUR 1M. Validate prosumer order volume with a quoting landing page before scaling the FDM farm. Reassess if Weerg sells to a strategic buyer with CEE ambitions.</w:t>
      </w:r>
    </w:p>
    <w:p>
      <w:r>
        <w:br w:type="page"/>
      </w:r>
    </w:p>
    <w:p>
      <w:pPr>
        <w:pStyle w:val="Heading1"/>
        <w:spacing w:after="160" w:before="280"/>
      </w:pPr>
      <w:r>
        <w:rPr>
          <w:rFonts w:ascii="Arial" w:cs="Arial" w:eastAsia="Arial" w:hAnsi="Arial"/>
          <w:b/>
          <w:bCs/>
          <w:color w:val="1F3864"/>
          <w:sz w:val="30"/>
          <w:szCs w:val="30"/>
        </w:rPr>
        <w:t xml:space="preserve">1. Market sizing</w:t>
      </w:r>
    </w:p>
    <w:p>
      <w:pPr>
        <w:spacing w:after="120" w:line="264" w:lineRule="auto"/>
      </w:pPr>
      <w:r>
        <w:rPr>
          <w:rFonts w:ascii="Arial" w:cs="Arial" w:eastAsia="Arial" w:hAnsi="Arial"/>
          <w:b w:val="false"/>
          <w:bCs w:val="false"/>
          <w:i w:val="false"/>
          <w:iCs w:val="false"/>
          <w:color w:val="000000"/>
          <w:sz w:val="21"/>
          <w:szCs w:val="21"/>
        </w:rPr>
        <w:t xml:space="preserve">Two reference houses frame the market. Wohlers Report 2026 puts global additive manufacturing at USD 24.2B for 2025, up 10.9%, with printing services the largest segment at 48% (about USD 11.6B) [13]. AMPOWER counts only industrial AM and gets EUR 11.33B for 2025, up 5.6% after a stagnant 2024, forecasting 13.5% a year to about EUR 20B by 2030 [14]. The definitions differ; both are legitimate. Wohlers includes desktop, software and a broader services definition.</w:t>
      </w:r>
    </w:p>
    <w:p>
      <w:pPr>
        <w:spacing w:after="120" w:line="264" w:lineRule="auto"/>
      </w:pPr>
      <w:r>
        <w:rPr>
          <w:rFonts w:ascii="Arial" w:cs="Arial" w:eastAsia="Arial" w:hAnsi="Arial"/>
          <w:b w:val="false"/>
          <w:bCs w:val="false"/>
          <w:i w:val="false"/>
          <w:iCs w:val="false"/>
          <w:color w:val="000000"/>
          <w:sz w:val="21"/>
          <w:szCs w:val="21"/>
        </w:rPr>
        <w:t xml:space="preserve">Europe-specific splits sit behind paywalls, so the European figures below are triangulations, not published numbers. AMPOWER describes the three world regions as similar in size with EMEA the largest but slowest growing; Wohlers puts EMEA company revenue growth at 9.0% in 2025 versus 12.6% in the Americas and 19.8% in APAC [13][14].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81"/>
        <w:gridCol w:w="3110"/>
        <w:gridCol w:w="2488"/>
        <w:gridCol w:w="1866"/>
      </w:tblGrid>
      <w:tr>
        <w:trPr>
          <w:tblHeader/>
        </w:trPr>
        <w:tc>
          <w:tcPr>
            <w:tcW w:type="dxa" w:w="2281"/>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Measure</w:t>
            </w:r>
          </w:p>
        </w:tc>
        <w:tc>
          <w:tcPr>
            <w:tcW w:type="dxa" w:w="3110"/>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Value</w:t>
            </w:r>
          </w:p>
        </w:tc>
        <w:tc>
          <w:tcPr>
            <w:tcW w:type="dxa" w:w="2488"/>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Basis</w:t>
            </w:r>
          </w:p>
        </w:tc>
        <w:tc>
          <w:tcPr>
            <w:tcW w:type="dxa" w:w="1866"/>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Source</w:t>
            </w:r>
          </w:p>
        </w:tc>
      </w:tr>
      <w:tr>
        <w:tc>
          <w:tcPr>
            <w:tcW w:type="dxa" w:w="22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Global AM, 2025</w:t>
            </w:r>
          </w:p>
        </w:tc>
        <w:tc>
          <w:tcPr>
            <w:tcW w:type="dxa" w:w="311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USD 24.2B, +10.9%; services 48%</w:t>
            </w:r>
          </w:p>
        </w:tc>
        <w:tc>
          <w:tcPr>
            <w:tcW w:type="dxa" w:w="2488"/>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FACT</w:t>
            </w:r>
          </w:p>
        </w:tc>
        <w:tc>
          <w:tcPr>
            <w:tcW w:type="dxa" w:w="1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Wohlers 2026 [13]</w:t>
            </w:r>
          </w:p>
        </w:tc>
      </w:tr>
      <w:tr>
        <w:tc>
          <w:tcPr>
            <w:tcW w:type="dxa" w:w="22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Global industrial AM, 2025</w:t>
            </w:r>
          </w:p>
        </w:tc>
        <w:tc>
          <w:tcPr>
            <w:tcW w:type="dxa" w:w="311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11.33B, +5.6%; 13.5%/yr forecast to 2030</w:t>
            </w:r>
          </w:p>
        </w:tc>
        <w:tc>
          <w:tcPr>
            <w:tcW w:type="dxa" w:w="2488"/>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FACT</w:t>
            </w:r>
          </w:p>
        </w:tc>
        <w:tc>
          <w:tcPr>
            <w:tcW w:type="dxa" w:w="1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AMPOWER 2026 [14]</w:t>
            </w:r>
          </w:p>
        </w:tc>
      </w:tr>
      <w:tr>
        <w:tc>
          <w:tcPr>
            <w:tcW w:type="dxa" w:w="22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European AM parts/services, 2025</w:t>
            </w:r>
          </w:p>
        </w:tc>
        <w:tc>
          <w:tcPr>
            <w:tcW w:type="dxa" w:w="311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1.2-3.0B; central EUR 1.5-2.0B, growing high single digits</w:t>
            </w:r>
          </w:p>
        </w:tc>
        <w:tc>
          <w:tcPr>
            <w:tcW w:type="dxa" w:w="2488"/>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ESTIMATE (triangulated two ways from [13][14])</w:t>
            </w:r>
          </w:p>
        </w:tc>
        <w:tc>
          <w:tcPr>
            <w:tcW w:type="dxa" w:w="1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This report</w:t>
            </w:r>
          </w:p>
        </w:tc>
      </w:tr>
      <w:tr>
        <w:tc>
          <w:tcPr>
            <w:tcW w:type="dxa" w:w="22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EU-27 machining turnover (NACE 25.62), 2023</w:t>
            </w:r>
          </w:p>
        </w:tc>
        <w:tc>
          <w:tcPr>
            <w:tcW w:type="dxa" w:w="311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110.0B across ~134,000 firms (avg EUR 0.8M/firm)</w:t>
            </w:r>
          </w:p>
        </w:tc>
        <w:tc>
          <w:tcPr>
            <w:tcW w:type="dxa" w:w="2488"/>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FACT [STALE, latest SBS year]</w:t>
            </w:r>
          </w:p>
        </w:tc>
        <w:tc>
          <w:tcPr>
            <w:tcW w:type="dxa" w:w="1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Eurostat [15]</w:t>
            </w:r>
          </w:p>
        </w:tc>
      </w:tr>
      <w:tr>
        <w:tc>
          <w:tcPr>
            <w:tcW w:type="dxa" w:w="22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Platform-suitable machining subset</w:t>
            </w:r>
          </w:p>
        </w:tc>
        <w:tc>
          <w:tcPr>
            <w:tcW w:type="dxa" w:w="311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11-22B (10-20% of turnover)</w:t>
            </w:r>
          </w:p>
        </w:tc>
        <w:tc>
          <w:tcPr>
            <w:tcW w:type="dxa" w:w="2488"/>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ASSUMPTION, consistent with Xometry's USD 275B global TAM claim [5]</w:t>
            </w:r>
          </w:p>
        </w:tc>
        <w:tc>
          <w:tcPr>
            <w:tcW w:type="dxa" w:w="1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This report</w:t>
            </w:r>
          </w:p>
        </w:tc>
      </w:tr>
      <w:tr>
        <w:tc>
          <w:tcPr>
            <w:tcW w:type="dxa" w:w="22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Current European online capture</w:t>
            </w:r>
          </w:p>
        </w:tc>
        <w:tc>
          <w:tcPr>
            <w:tcW w:type="dxa" w:w="311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0.3-0.6B (~2-4% of the suitable subset)</w:t>
            </w:r>
          </w:p>
        </w:tc>
        <w:tc>
          <w:tcPr>
            <w:tcW w:type="dxa" w:w="2488"/>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ESTIMATE from PRLB Europe ~USD 100M + Xometry intl + privates</w:t>
            </w:r>
          </w:p>
        </w:tc>
        <w:tc>
          <w:tcPr>
            <w:tcW w:type="dxa" w:w="1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This report</w:t>
            </w:r>
          </w:p>
        </w:tc>
      </w:tr>
      <w:tr>
        <w:tc>
          <w:tcPr>
            <w:tcW w:type="dxa" w:w="22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Poland machining (NACE 25.62), 2023</w:t>
            </w:r>
          </w:p>
        </w:tc>
        <w:tc>
          <w:tcPr>
            <w:tcW w:type="dxa" w:w="311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26,729 firms, EUR 7.79B turnover</w:t>
            </w:r>
          </w:p>
        </w:tc>
        <w:tc>
          <w:tcPr>
            <w:tcW w:type="dxa" w:w="2488"/>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FACT [STALE]</w:t>
            </w:r>
          </w:p>
        </w:tc>
        <w:tc>
          <w:tcPr>
            <w:tcW w:type="dxa" w:w="1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Eurostat [15]</w:t>
            </w:r>
          </w:p>
        </w:tc>
      </w:tr>
      <w:tr>
        <w:tc>
          <w:tcPr>
            <w:tcW w:type="dxa" w:w="22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Manufacturing labour cost, 2025</w:t>
            </w:r>
          </w:p>
        </w:tc>
        <w:tc>
          <w:tcPr>
            <w:tcW w:type="dxa" w:w="311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Poland EUR 17.10/h vs Germany EUR 49.50/h</w:t>
            </w:r>
          </w:p>
        </w:tc>
        <w:tc>
          <w:tcPr>
            <w:tcW w:type="dxa" w:w="2488"/>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FACT</w:t>
            </w:r>
          </w:p>
        </w:tc>
        <w:tc>
          <w:tcPr>
            <w:tcW w:type="dxa" w:w="1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Eurostat/Destatis [16]</w:t>
            </w:r>
          </w:p>
        </w:tc>
      </w:tr>
      <w:tr>
        <w:tc>
          <w:tcPr>
            <w:tcW w:type="dxa" w:w="22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Polish AM services market</w:t>
            </w:r>
          </w:p>
        </w:tc>
        <w:tc>
          <w:tcPr>
            <w:tcW w:type="dxa" w:w="311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285M claimed by a B2B directory; cross-check implies ~EUR 90M</w:t>
            </w:r>
          </w:p>
        </w:tc>
        <w:tc>
          <w:tcPr>
            <w:tcW w:type="dxa" w:w="2488"/>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ESTIMATE, low reliability</w:t>
            </w:r>
          </w:p>
        </w:tc>
        <w:tc>
          <w:tcPr>
            <w:tcW w:type="dxa" w:w="1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[15n] b2bpoland.com</w:t>
            </w:r>
          </w:p>
        </w:tc>
      </w:tr>
    </w:tbl>
    <w:p>
      <w:pPr>
        <w:spacing w:after="80"/>
      </w:pPr>
    </w:p>
    <w:p>
      <w:pPr>
        <w:spacing w:after="120" w:line="264" w:lineRule="auto"/>
      </w:pPr>
      <w:r>
        <w:rPr>
          <w:rFonts w:ascii="Arial" w:cs="Arial" w:eastAsia="Arial" w:hAnsi="Arial"/>
          <w:b w:val="false"/>
          <w:bCs w:val="false"/>
          <w:i w:val="false"/>
          <w:iCs w:val="false"/>
          <w:color w:val="000000"/>
          <w:sz w:val="21"/>
          <w:szCs w:val="21"/>
        </w:rPr>
        <w:t xml:space="preserve">TAM, SAM and SOM for this venture. TAM: European custom parts across machining and AM services, about EUR 112B (EUR 110B machining turnover plus EUR 2B AM services central estimate). SAM: the instant-quote-suitable slice, EUR 13-24B (10-20% of machining plus most of AM services). SOM: bottom-up, the realistic 5-year revenue target is EUR 5-15M. Reasoning: Weerg took ten years to reach EUR 18M; a new entrant with today's tailwinds (vacated prosumer space, defense demand, better tooling) and Polish costs can plausibly reach a third to two thirds of that in five years. All three numbers are estimates and the SOM is an ambition, not a forecast.</w:t>
      </w:r>
    </w:p>
    <w:p>
      <w:pPr>
        <w:spacing w:after="120" w:line="264" w:lineRule="auto"/>
      </w:pPr>
      <w:r>
        <w:rPr>
          <w:rFonts w:ascii="Arial" w:cs="Arial" w:eastAsia="Arial" w:hAnsi="Arial"/>
          <w:b w:val="false"/>
          <w:bCs w:val="false"/>
          <w:i w:val="false"/>
          <w:iCs w:val="false"/>
          <w:color w:val="000000"/>
          <w:sz w:val="21"/>
          <w:szCs w:val="21"/>
        </w:rPr>
        <w:t xml:space="preserve">Demand context cuts both ways. Online platforms grew 20-30% in 2025 while European industrial demand shrank: Protolabs Europe fell 7% in constant currency and CECIMO machine-tool consumption fell 3.6% [3][17]. Platform growth is currently share shift, not market growth. The prosumer base is expanding fast: entry-level printer shipments rose 26% in 2025, with Chinese brands at 95% of units [18].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23"/>
        <w:gridCol w:w="3766"/>
        <w:gridCol w:w="2658"/>
      </w:tblGrid>
      <w:tr>
        <w:trPr>
          <w:tblHeader/>
        </w:trPr>
        <w:tc>
          <w:tcPr>
            <w:tcW w:type="dxa" w:w="3323"/>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Segment</w:t>
            </w:r>
          </w:p>
        </w:tc>
        <w:tc>
          <w:tcPr>
            <w:tcW w:type="dxa" w:w="3766"/>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2025 growth</w:t>
            </w:r>
          </w:p>
        </w:tc>
        <w:tc>
          <w:tcPr>
            <w:tcW w:type="dxa" w:w="2658"/>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Source</w:t>
            </w:r>
          </w:p>
        </w:tc>
      </w:tr>
      <w:tr>
        <w:tc>
          <w:tcPr>
            <w:tcW w:type="dxa" w:w="3323"/>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Global AM total</w:t>
            </w:r>
          </w:p>
        </w:tc>
        <w:tc>
          <w:tcPr>
            <w:tcW w:type="dxa" w:w="37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+10.9%</w:t>
            </w:r>
          </w:p>
        </w:tc>
        <w:tc>
          <w:tcPr>
            <w:tcW w:type="dxa" w:w="2658"/>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Wohlers [13]</w:t>
            </w:r>
          </w:p>
        </w:tc>
      </w:tr>
      <w:tr>
        <w:tc>
          <w:tcPr>
            <w:tcW w:type="dxa" w:w="3323"/>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Global industrial AM</w:t>
            </w:r>
          </w:p>
        </w:tc>
        <w:tc>
          <w:tcPr>
            <w:tcW w:type="dxa" w:w="37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+5.6% (forecast 13.5%/yr to 2030)</w:t>
            </w:r>
          </w:p>
        </w:tc>
        <w:tc>
          <w:tcPr>
            <w:tcW w:type="dxa" w:w="2658"/>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AMPOWER [14]</w:t>
            </w:r>
          </w:p>
        </w:tc>
      </w:tr>
      <w:tr>
        <w:tc>
          <w:tcPr>
            <w:tcW w:type="dxa" w:w="3323"/>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EMEA AM companies</w:t>
            </w:r>
          </w:p>
        </w:tc>
        <w:tc>
          <w:tcPr>
            <w:tcW w:type="dxa" w:w="37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+9.0% average, slowest region</w:t>
            </w:r>
          </w:p>
        </w:tc>
        <w:tc>
          <w:tcPr>
            <w:tcW w:type="dxa" w:w="2658"/>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Wohlers via 3Dnatives [13]</w:t>
            </w:r>
          </w:p>
        </w:tc>
      </w:tr>
      <w:tr>
        <w:tc>
          <w:tcPr>
            <w:tcW w:type="dxa" w:w="3323"/>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Online marketplaces (Xometry marketplace)</w:t>
            </w:r>
          </w:p>
        </w:tc>
        <w:tc>
          <w:tcPr>
            <w:tcW w:type="dxa" w:w="37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+30% FY2025; 2026 guidance 23%+</w:t>
            </w:r>
          </w:p>
        </w:tc>
        <w:tc>
          <w:tcPr>
            <w:tcW w:type="dxa" w:w="2658"/>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Xometry [5]</w:t>
            </w:r>
          </w:p>
        </w:tc>
      </w:tr>
      <w:tr>
        <w:tc>
          <w:tcPr>
            <w:tcW w:type="dxa" w:w="3323"/>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Protolabs Europe</w:t>
            </w:r>
          </w:p>
        </w:tc>
        <w:tc>
          <w:tcPr>
            <w:tcW w:type="dxa" w:w="37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-7% constant currency</w:t>
            </w:r>
          </w:p>
        </w:tc>
        <w:tc>
          <w:tcPr>
            <w:tcW w:type="dxa" w:w="2658"/>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Protolabs [3]</w:t>
            </w:r>
          </w:p>
        </w:tc>
      </w:tr>
      <w:tr>
        <w:tc>
          <w:tcPr>
            <w:tcW w:type="dxa" w:w="3323"/>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 machine-tool consumption</w:t>
            </w:r>
          </w:p>
        </w:tc>
        <w:tc>
          <w:tcPr>
            <w:tcW w:type="dxa" w:w="37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-3.6%, recovery expected 2026</w:t>
            </w:r>
          </w:p>
        </w:tc>
        <w:tc>
          <w:tcPr>
            <w:tcW w:type="dxa" w:w="2658"/>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CECIMO [17]</w:t>
            </w:r>
          </w:p>
        </w:tc>
      </w:tr>
      <w:tr>
        <w:tc>
          <w:tcPr>
            <w:tcW w:type="dxa" w:w="3323"/>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Entry-level desktop printers</w:t>
            </w:r>
          </w:p>
        </w:tc>
        <w:tc>
          <w:tcPr>
            <w:tcW w:type="dxa" w:w="37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+26% units FY2025, +47% Q4</w:t>
            </w:r>
          </w:p>
        </w:tc>
        <w:tc>
          <w:tcPr>
            <w:tcW w:type="dxa" w:w="2658"/>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CONTEXT [18]</w:t>
            </w:r>
          </w:p>
        </w:tc>
      </w:tr>
    </w:tbl>
    <w:p>
      <w:r>
        <w:br w:type="page"/>
      </w:r>
    </w:p>
    <w:p>
      <w:pPr>
        <w:pStyle w:val="Heading1"/>
        <w:spacing w:after="160" w:before="280"/>
      </w:pPr>
      <w:r>
        <w:rPr>
          <w:rFonts w:ascii="Arial" w:cs="Arial" w:eastAsia="Arial" w:hAnsi="Arial"/>
          <w:b/>
          <w:bCs/>
          <w:color w:val="1F3864"/>
          <w:sz w:val="30"/>
          <w:szCs w:val="30"/>
        </w:rPr>
        <w:t xml:space="preserve">2. Competitive landscape</w:t>
      </w:r>
    </w:p>
    <w:p>
      <w:pPr>
        <w:spacing w:after="120" w:line="264" w:lineRule="auto"/>
      </w:pPr>
      <w:r>
        <w:rPr>
          <w:rFonts w:ascii="Arial" w:cs="Arial" w:eastAsia="Arial" w:hAnsi="Arial"/>
          <w:b w:val="false"/>
          <w:bCs w:val="false"/>
          <w:i w:val="false"/>
          <w:iCs w:val="false"/>
          <w:color w:val="000000"/>
          <w:sz w:val="21"/>
          <w:szCs w:val="21"/>
        </w:rPr>
        <w:t xml:space="preserve">The full 27-row matrix with sources and confidence levels is in the workbook (Competitor Matrix tab). This section covers what matters for the decision. Four premises from the brief did not survive verification: Protolabs Network is growing, not shut down [3]; Kreatize shows no insolvency and has pivoted to software [40]; i.materialise is closed [7]; Sculpteo now belongs to France's 3D Prod, not BASF [9].</w:t>
      </w:r>
    </w:p>
    <w:p>
      <w:pPr>
        <w:pStyle w:val="Heading2"/>
        <w:spacing w:after="120" w:before="220"/>
      </w:pPr>
      <w:r>
        <w:rPr>
          <w:rFonts w:ascii="Arial" w:cs="Arial" w:eastAsia="Arial" w:hAnsi="Arial"/>
          <w:b/>
          <w:bCs/>
          <w:color w:val="1F3864"/>
          <w:sz w:val="24"/>
          <w:szCs w:val="24"/>
        </w:rPr>
        <w:t xml:space="preserve">2.1 Asset-heavy Europe</w:t>
      </w:r>
    </w:p>
    <w:p>
      <w:pPr>
        <w:spacing w:after="120" w:line="264" w:lineRule="auto"/>
      </w:pPr>
      <w:r>
        <w:rPr>
          <w:rFonts w:ascii="Arial" w:cs="Arial" w:eastAsia="Arial" w:hAnsi="Arial"/>
          <w:b/>
          <w:bCs/>
          <w:i w:val="false"/>
          <w:iCs w:val="false"/>
          <w:color w:val="000000"/>
          <w:sz w:val="21"/>
          <w:szCs w:val="21"/>
        </w:rPr>
        <w:t xml:space="preserve">Weerg (Scorze, Italy) </w:t>
      </w:r>
      <w:r>
        <w:rPr>
          <w:rFonts w:ascii="Arial" w:cs="Arial" w:eastAsia="Arial" w:hAnsi="Arial"/>
          <w:b w:val="false"/>
          <w:bCs w:val="false"/>
          <w:i w:val="false"/>
          <w:iCs w:val="false"/>
          <w:color w:val="000000"/>
          <w:sz w:val="21"/>
          <w:szCs w:val="21"/>
        </w:rPr>
        <w:t xml:space="preserve">is the anchor for the whole thesis. One 6,000 m2 plant, 28-30 identical HP MJF 5620 machines (a uniform fleet, which simplifies quoting, scheduling and spares), 10 Hermle 5-axis centers plus Mazak lathes, instant quoting since 2015 with no login, production runs in 3 days, EU delivery in 1-2 days, free shipping over EUR 250 [1][44]. Filed FY2024: EUR 13.6M revenue, EUR 1.75M net profit (FACT, Italian registry [2]). Company-stated 2025: about EUR 18M revenue, about 40% EBITDA, 2.5M parts a year, 70% of revenue from 3D printing, EUR 25M target for 2026 (company claims, medium confidence [1]). Certifications stop at ISO 9001. Weaknesses in reviews: batch quality inconsistency, tolerance misses, weak communication on exceptions. Founder Matteo Rigamonti, who built and sold Pixartprinting, states openly that the end goal is a sale [1].</w:t>
      </w:r>
    </w:p>
    <w:p>
      <w:pPr>
        <w:spacing w:after="120" w:line="264" w:lineRule="auto"/>
      </w:pPr>
      <w:r>
        <w:rPr>
          <w:rFonts w:ascii="Arial" w:cs="Arial" w:eastAsia="Arial" w:hAnsi="Arial"/>
          <w:b/>
          <w:bCs/>
          <w:i w:val="false"/>
          <w:iCs w:val="false"/>
          <w:color w:val="000000"/>
          <w:sz w:val="21"/>
          <w:szCs w:val="21"/>
        </w:rPr>
        <w:t xml:space="preserve">Protolabs </w:t>
      </w:r>
      <w:r>
        <w:rPr>
          <w:rFonts w:ascii="Arial" w:cs="Arial" w:eastAsia="Arial" w:hAnsi="Arial"/>
          <w:b w:val="false"/>
          <w:bCs w:val="false"/>
          <w:i w:val="false"/>
          <w:iCs w:val="false"/>
          <w:color w:val="000000"/>
          <w:sz w:val="21"/>
          <w:szCs w:val="21"/>
        </w:rPr>
        <w:t xml:space="preserve">(Telford UK and Putzbrunn DE factories in Europe) is the premium incumbent: FY2025 group revenue USD 533.1M with net income USD 16.6M, but Europe fell 3.7% reported and 7% in constant currency to USD 100.8M while the US grew 9% [3]. Full certification stack (ISO 9001, AS9100D, ISO 13485, ITAR in the US only). Its pricing runs 3-5x the cheapest options in same-part benchmarks [30][31]. Read: the premium end of Europe is shrinking and overpriced for SMB work.</w:t>
      </w:r>
    </w:p>
    <w:p>
      <w:pPr>
        <w:spacing w:after="120" w:line="264" w:lineRule="auto"/>
      </w:pPr>
      <w:r>
        <w:rPr>
          <w:rFonts w:ascii="Arial" w:cs="Arial" w:eastAsia="Arial" w:hAnsi="Arial"/>
          <w:b/>
          <w:bCs/>
          <w:i w:val="false"/>
          <w:iCs w:val="false"/>
          <w:color w:val="000000"/>
          <w:sz w:val="21"/>
          <w:szCs w:val="21"/>
        </w:rPr>
        <w:t xml:space="preserve">Sculpteo </w:t>
      </w:r>
      <w:r>
        <w:rPr>
          <w:rFonts w:ascii="Arial" w:cs="Arial" w:eastAsia="Arial" w:hAnsi="Arial"/>
          <w:b w:val="false"/>
          <w:bCs w:val="false"/>
          <w:i w:val="false"/>
          <w:iCs w:val="false"/>
          <w:color w:val="000000"/>
          <w:sz w:val="21"/>
          <w:szCs w:val="21"/>
        </w:rPr>
        <w:t xml:space="preserve">was sold by BASF to 3D Prod in May 2026 after the Forward AM insolvency; the combined French group claims EUR 17M revenue, 100 staff, two plants and a large MJF fleet [9]. Materialise retreated upmarket: its Manufacturing segment did EUR 92.5M in FY2025, down 13.2%, with negative segment EBITDA, and killed the i.materialise prosumer channel in October 2025 [6][7]. Shapeways relaunched from Eindhoven under its original founders after Chapter 7, added FDM in 2025, and no longer publishes its rate card; assume under EUR 10M revenue (low confidence) [8]. Mipart (BAM Group, Bavaria) produces in-house on 40+ machines with instant quoting, about 130 group employees. MABS (Brescia) is a micro-bureau. </w:t>
      </w:r>
    </w:p>
    <w:p>
      <w:pPr>
        <w:pStyle w:val="Heading2"/>
        <w:spacing w:after="120" w:before="220"/>
      </w:pPr>
      <w:r>
        <w:rPr>
          <w:rFonts w:ascii="Arial" w:cs="Arial" w:eastAsia="Arial" w:hAnsi="Arial"/>
          <w:b/>
          <w:bCs/>
          <w:color w:val="1F3864"/>
          <w:sz w:val="24"/>
          <w:szCs w:val="24"/>
        </w:rPr>
        <w:t xml:space="preserve">2.2 Marketplaces</w:t>
      </w:r>
    </w:p>
    <w:p>
      <w:pPr>
        <w:spacing w:after="120" w:line="264" w:lineRule="auto"/>
      </w:pPr>
      <w:r>
        <w:rPr>
          <w:rFonts w:ascii="Arial" w:cs="Arial" w:eastAsia="Arial" w:hAnsi="Arial"/>
          <w:b w:val="false"/>
          <w:bCs w:val="false"/>
          <w:i w:val="false"/>
          <w:iCs w:val="false"/>
          <w:color w:val="000000"/>
          <w:sz w:val="21"/>
          <w:szCs w:val="21"/>
        </w:rPr>
        <w:t xml:space="preserve">Xometry Europe (Munich) is the serious platform competitor. Group FY2025: USD 686.6M revenue, up 26%, marketplace gross margin 34.7%, first positive adjusted-EBITDA year (USD +18.5M) but still a GAAP net loss of USD 61.7M. The international segment (mostly Europe) grew 27% to USD 112.9M with a 37.8% gross margin and a USD 12.5M adjusted-EBITDA loss [5]. It runs a Polish-language storefront and sources from CEE and Turkey. Its EU terms prohibit weapons parts by default, a gap a defense-focused entrant can use [5n]. Review themes: slipped express deliveries, out-of-spec parts, slow support.</w:t>
      </w:r>
    </w:p>
    <w:p>
      <w:pPr>
        <w:spacing w:after="120" w:line="264" w:lineRule="auto"/>
      </w:pPr>
      <w:r>
        <w:rPr>
          <w:rFonts w:ascii="Arial" w:cs="Arial" w:eastAsia="Arial" w:hAnsi="Arial"/>
          <w:b w:val="false"/>
          <w:bCs w:val="false"/>
          <w:i w:val="false"/>
          <w:iCs w:val="false"/>
          <w:color w:val="000000"/>
          <w:sz w:val="21"/>
          <w:szCs w:val="21"/>
        </w:rPr>
        <w:t xml:space="preserve">The German mid-tier is retrenching. Laserhub's headcount fell to about 62 with a Creditreform rating stress signal in May 2025. Kreatize pivoted out of the marketplace model into software (about 54 staff, Wroclaw hub, no insolvency on record [40]). CNC24 and Facturee still quote manually. Spanflug stays a DE/AT-only premium niche. MakerVerse (Siemens Energy and ZEISS backed) has had no disclosed round since its EUR 9.4M Series A in 2023 [STALE]. Fractory (sheet metal, Estonia/UK) keeps raising bridge rounds and expanded to France and Italy in March 2026 [41]. Geomiq is small (estimated single-digit GBP millions net revenue, low confidence). None shows evidence of sustained profitability. The pattern: at a roughly 30-35% take rate, break-even appears to need over EUR 100M GMV, and only Xometry Europe is near that path.</w:t>
      </w:r>
    </w:p>
    <w:p>
      <w:pPr>
        <w:spacing w:after="120" w:line="264" w:lineRule="auto"/>
      </w:pPr>
      <w:r>
        <w:rPr>
          <w:rFonts w:ascii="Arial" w:cs="Arial" w:eastAsia="Arial" w:hAnsi="Arial"/>
          <w:b w:val="false"/>
          <w:bCs w:val="false"/>
          <w:i w:val="false"/>
          <w:iCs w:val="false"/>
          <w:color w:val="000000"/>
          <w:sz w:val="21"/>
          <w:szCs w:val="21"/>
        </w:rPr>
        <w:t xml:space="preserve">Craftcloud (All3DP, Munich) is the aggregator: about 180-200 partner bureaus, no assets, quotes without login, roughly EUR 10M turnover at break-even as of October 2024 [STALE] with claimed 60%+ growth [10]. Its structural weakness is the venture's opening: the same part can swing 100% in price between partners within days, quality varies by partner, and recourse is weak (Trustpilot themes). It rents its supply; an asset-heavy entrant controls it.</w:t>
      </w:r>
    </w:p>
    <w:p>
      <w:pPr>
        <w:pStyle w:val="Heading2"/>
        <w:spacing w:after="120" w:before="220"/>
      </w:pPr>
      <w:r>
        <w:rPr>
          <w:rFonts w:ascii="Arial" w:cs="Arial" w:eastAsia="Arial" w:hAnsi="Arial"/>
          <w:b/>
          <w:bCs/>
          <w:color w:val="1F3864"/>
          <w:sz w:val="24"/>
          <w:szCs w:val="24"/>
        </w:rPr>
        <w:t xml:space="preserve">2.3 The Chinese price floor</w:t>
      </w:r>
    </w:p>
    <w:p>
      <w:pPr>
        <w:spacing w:after="120" w:line="264" w:lineRule="auto"/>
      </w:pPr>
      <w:r>
        <w:rPr>
          <w:rFonts w:ascii="Arial" w:cs="Arial" w:eastAsia="Arial" w:hAnsi="Arial"/>
          <w:b w:val="false"/>
          <w:bCs w:val="false"/>
          <w:i w:val="false"/>
          <w:iCs w:val="false"/>
          <w:color w:val="000000"/>
          <w:sz w:val="21"/>
          <w:szCs w:val="21"/>
        </w:rPr>
        <w:t xml:space="preserve">JLC3DP (JLCPCB group) is the reference low price: parts from USD 0.30, MJF PA12 from USD 1.00, ABS FDM from USD 3.00, 2-5 day production plus 3-12 days shipping to Poland [33]. Third-party analytics put jlcpcb.com store revenue around USD 273M for 2025 (unaudited estimate [39]). PCBWay (USD 25 minimum) and RapidDirect (claims 30-50% below Western prices) follow the same pattern. Unionfab (Shanghai) runs the largest verified production fleet, 727+ printers [38]. All are ISO 9001 at most; none can serve EU defense work. Their EU friction is rising: customs surprise invoices already dominate complaints, and since 1 July 2026 each parcel line carries the EUR 3 duty [20][21]. JLCPCB reacted within weeks with DDP checkout and advice to consolidate orders above EUR 150 [33]. Expect the price gap to persist but the convenience gap to widen in EU suppliers' favor.</w:t>
      </w:r>
    </w:p>
    <w:p>
      <w:pPr>
        <w:pStyle w:val="Heading2"/>
        <w:spacing w:after="120" w:before="220"/>
      </w:pPr>
      <w:r>
        <w:rPr>
          <w:rFonts w:ascii="Arial" w:cs="Arial" w:eastAsia="Arial" w:hAnsi="Arial"/>
          <w:b/>
          <w:bCs/>
          <w:color w:val="1F3864"/>
          <w:sz w:val="24"/>
          <w:szCs w:val="24"/>
        </w:rPr>
        <w:t xml:space="preserve">2.4 Poland and CEE</w:t>
      </w:r>
    </w:p>
    <w:p>
      <w:pPr>
        <w:spacing w:after="120" w:line="264" w:lineRule="auto"/>
      </w:pPr>
      <w:r>
        <w:rPr>
          <w:rFonts w:ascii="Arial" w:cs="Arial" w:eastAsia="Arial" w:hAnsi="Arial"/>
          <w:b w:val="false"/>
          <w:bCs w:val="false"/>
          <w:i w:val="false"/>
          <w:iCs w:val="false"/>
          <w:color w:val="000000"/>
          <w:sz w:val="21"/>
          <w:szCs w:val="21"/>
        </w:rPr>
        <w:t xml:space="preserve">No Polish venture-scale instant-quote player exists. Technology Applied (Bialystok) is the largest local AM contract manufacturer (four EOS SLS machines plus HP MJF, about 180,000 parts in 2023 [STALE], a cited 50,000-part drone order) but quotes manually. Cubic Inch and 3DGence's service arm are RFQ or funnel-based. Xometry harvests Polish machine shops as anonymous supply. The gap is a Polish-located, branded, instant-quote operator, and it is open.</w:t>
      </w:r>
    </w:p>
    <w:p>
      <w:pPr>
        <w:pStyle w:val="Heading2"/>
        <w:spacing w:after="120" w:before="220"/>
      </w:pPr>
      <w:r>
        <w:rPr>
          <w:rFonts w:ascii="Arial" w:cs="Arial" w:eastAsia="Arial" w:hAnsi="Arial"/>
          <w:b/>
          <w:bCs/>
          <w:color w:val="1F3864"/>
          <w:sz w:val="24"/>
          <w:szCs w:val="24"/>
        </w:rPr>
        <w:t xml:space="preserve">2.5 The US benchmark: SendCutSend</w:t>
      </w:r>
    </w:p>
    <w:p>
      <w:pPr>
        <w:spacing w:after="120" w:line="264" w:lineRule="auto"/>
      </w:pPr>
      <w:r>
        <w:rPr>
          <w:rFonts w:ascii="Arial" w:cs="Arial" w:eastAsia="Arial" w:hAnsi="Arial"/>
          <w:b w:val="false"/>
          <w:bCs w:val="false"/>
          <w:i w:val="false"/>
          <w:iCs w:val="false"/>
          <w:color w:val="000000"/>
          <w:sz w:val="21"/>
          <w:szCs w:val="21"/>
        </w:rPr>
        <w:t xml:space="preserve">SendCutSend (Reno, NV) validates the model this venture copies: in-house production, published per-material prices, about USD 29 minimum, free US shipping, ships in 1-4 days, relentless adjacency expansion from laser cutting into bending, finishing, CNC, and now polymer 3DP experiments. Crossed USD 100M revenue in October 2025 with 410 staff; raised USD 110M in May 2026 at about USD 1.01B post-money (Sequoia, Paradigm, Collison brothers), then committed over USD 250M to new US factories [11][12]. It ships to the US and Canada only and shows no EU intent. The playbook is proven and unoccupied in Europe. Weerg is the closest analogue and it is for sale.</w:t>
      </w:r>
    </w:p>
    <w:p>
      <w:r>
        <w:br w:type="page"/>
      </w:r>
    </w:p>
    <w:p>
      <w:pPr>
        <w:pStyle w:val="Heading1"/>
        <w:spacing w:after="160" w:before="280"/>
      </w:pPr>
      <w:r>
        <w:rPr>
          <w:rFonts w:ascii="Arial" w:cs="Arial" w:eastAsia="Arial" w:hAnsi="Arial"/>
          <w:b/>
          <w:bCs/>
          <w:color w:val="1F3864"/>
          <w:sz w:val="30"/>
          <w:szCs w:val="30"/>
        </w:rPr>
        <w:t xml:space="preserve">3. Business model economics</w:t>
      </w:r>
    </w:p>
    <w:p>
      <w:pPr>
        <w:pStyle w:val="Heading2"/>
        <w:spacing w:after="120" w:before="220"/>
      </w:pPr>
      <w:r>
        <w:rPr>
          <w:rFonts w:ascii="Arial" w:cs="Arial" w:eastAsia="Arial" w:hAnsi="Arial"/>
          <w:b/>
          <w:bCs/>
          <w:color w:val="1F3864"/>
          <w:sz w:val="24"/>
          <w:szCs w:val="24"/>
        </w:rPr>
        <w:t xml:space="preserve">3.1 Marketplace take rates versus asset-heavy margins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29"/>
        <w:gridCol w:w="1242"/>
        <w:gridCol w:w="2866"/>
        <w:gridCol w:w="2866"/>
        <w:gridCol w:w="1242"/>
      </w:tblGrid>
      <w:tr>
        <w:trPr>
          <w:tblHeader/>
        </w:trPr>
        <w:tc>
          <w:tcPr>
            <w:tcW w:type="dxa" w:w="1529"/>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Player</w:t>
            </w:r>
          </w:p>
        </w:tc>
        <w:tc>
          <w:tcPr>
            <w:tcW w:type="dxa" w:w="1242"/>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Model</w:t>
            </w:r>
          </w:p>
        </w:tc>
        <w:tc>
          <w:tcPr>
            <w:tcW w:type="dxa" w:w="2866"/>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Best public margin anchor</w:t>
            </w:r>
          </w:p>
        </w:tc>
        <w:tc>
          <w:tcPr>
            <w:tcW w:type="dxa" w:w="2866"/>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Profitability</w:t>
            </w:r>
          </w:p>
        </w:tc>
        <w:tc>
          <w:tcPr>
            <w:tcW w:type="dxa" w:w="1242"/>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Basis</w:t>
            </w:r>
          </w:p>
        </w:tc>
      </w:tr>
      <w:tr>
        <w:tc>
          <w:tcPr>
            <w:tcW w:type="dxa" w:w="152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Xometry (group)</w:t>
            </w:r>
          </w:p>
        </w:tc>
        <w:tc>
          <w:tcPr>
            <w:tcW w:type="dxa" w:w="1242"/>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Marketplace</w:t>
            </w:r>
          </w:p>
        </w:tc>
        <w:tc>
          <w:tcPr>
            <w:tcW w:type="dxa" w:w="2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Marketplace gross margin 34.7% FY2025</w:t>
            </w:r>
          </w:p>
        </w:tc>
        <w:tc>
          <w:tcPr>
            <w:tcW w:type="dxa" w:w="2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First positive adj. EBITDA year (+USD 18.5M on USD 686.6M); GAAP loss USD 61.7M</w:t>
            </w:r>
          </w:p>
        </w:tc>
        <w:tc>
          <w:tcPr>
            <w:tcW w:type="dxa" w:w="1242"/>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FACT [5]</w:t>
            </w:r>
          </w:p>
        </w:tc>
      </w:tr>
      <w:tr>
        <w:tc>
          <w:tcPr>
            <w:tcW w:type="dxa" w:w="152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Xometry International</w:t>
            </w:r>
          </w:p>
        </w:tc>
        <w:tc>
          <w:tcPr>
            <w:tcW w:type="dxa" w:w="1242"/>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Marketplace</w:t>
            </w:r>
          </w:p>
        </w:tc>
        <w:tc>
          <w:tcPr>
            <w:tcW w:type="dxa" w:w="2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Gross margin 37.8%</w:t>
            </w:r>
          </w:p>
        </w:tc>
        <w:tc>
          <w:tcPr>
            <w:tcW w:type="dxa" w:w="2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Adj. EBITDA -USD 12.5M FY2025</w:t>
            </w:r>
          </w:p>
        </w:tc>
        <w:tc>
          <w:tcPr>
            <w:tcW w:type="dxa" w:w="1242"/>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FACT [5]</w:t>
            </w:r>
          </w:p>
        </w:tc>
      </w:tr>
      <w:tr>
        <w:tc>
          <w:tcPr>
            <w:tcW w:type="dxa" w:w="152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Protolabs factories</w:t>
            </w:r>
          </w:p>
        </w:tc>
        <w:tc>
          <w:tcPr>
            <w:tcW w:type="dxa" w:w="1242"/>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In-house</w:t>
            </w:r>
          </w:p>
        </w:tc>
        <w:tc>
          <w:tcPr>
            <w:tcW w:type="dxa" w:w="2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~49% gross margin (non-GAAP factory disclosure)</w:t>
            </w:r>
          </w:p>
        </w:tc>
        <w:tc>
          <w:tcPr>
            <w:tcW w:type="dxa" w:w="2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Group net income USD 16.6M FY2025</w:t>
            </w:r>
          </w:p>
        </w:tc>
        <w:tc>
          <w:tcPr>
            <w:tcW w:type="dxa" w:w="1242"/>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FACT [3]</w:t>
            </w:r>
          </w:p>
        </w:tc>
      </w:tr>
      <w:tr>
        <w:tc>
          <w:tcPr>
            <w:tcW w:type="dxa" w:w="152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Protolabs Network</w:t>
            </w:r>
          </w:p>
        </w:tc>
        <w:tc>
          <w:tcPr>
            <w:tcW w:type="dxa" w:w="1242"/>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Marketplace</w:t>
            </w:r>
          </w:p>
        </w:tc>
        <w:tc>
          <w:tcPr>
            <w:tcW w:type="dxa" w:w="2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~29% implied gross margin</w:t>
            </w:r>
          </w:p>
        </w:tc>
        <w:tc>
          <w:tcPr>
            <w:tcW w:type="dxa" w:w="2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Not separately profitable</w:t>
            </w:r>
          </w:p>
        </w:tc>
        <w:tc>
          <w:tcPr>
            <w:tcW w:type="dxa" w:w="1242"/>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ESTIMATE, triangulated [3]</w:t>
            </w:r>
          </w:p>
        </w:tc>
      </w:tr>
      <w:tr>
        <w:tc>
          <w:tcPr>
            <w:tcW w:type="dxa" w:w="152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Weerg</w:t>
            </w:r>
          </w:p>
        </w:tc>
        <w:tc>
          <w:tcPr>
            <w:tcW w:type="dxa" w:w="1242"/>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In-house</w:t>
            </w:r>
          </w:p>
        </w:tc>
        <w:tc>
          <w:tcPr>
            <w:tcW w:type="dxa" w:w="2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~40% EBITDA (company claim); 12.9% net margin FY2024 filed</w:t>
            </w:r>
          </w:p>
        </w:tc>
        <w:tc>
          <w:tcPr>
            <w:tcW w:type="dxa" w:w="2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1.75M net profit FY2024</w:t>
            </w:r>
          </w:p>
        </w:tc>
        <w:tc>
          <w:tcPr>
            <w:tcW w:type="dxa" w:w="1242"/>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FACT (FY24) / claim (2025) [1][2]</w:t>
            </w:r>
          </w:p>
        </w:tc>
      </w:tr>
      <w:tr>
        <w:tc>
          <w:tcPr>
            <w:tcW w:type="dxa" w:w="152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Craftcloud</w:t>
            </w:r>
          </w:p>
        </w:tc>
        <w:tc>
          <w:tcPr>
            <w:tcW w:type="dxa" w:w="1242"/>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Aggregator</w:t>
            </w:r>
          </w:p>
        </w:tc>
        <w:tc>
          <w:tcPr>
            <w:tcW w:type="dxa" w:w="2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Take rate est. 15-30% (undisclosed)</w:t>
            </w:r>
          </w:p>
        </w:tc>
        <w:tc>
          <w:tcPr>
            <w:tcW w:type="dxa" w:w="2866"/>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Break-even at ~EUR 10M (Oct 2024) [STALE]</w:t>
            </w:r>
          </w:p>
        </w:tc>
        <w:tc>
          <w:tcPr>
            <w:tcW w:type="dxa" w:w="1242"/>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Company statement [10]</w:t>
            </w:r>
          </w:p>
        </w:tc>
      </w:tr>
      <w:tr>
        <w:tc>
          <w:tcPr>
            <w:tcW w:type="dxa" w:w="152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Sheet-metal platforms</w:t>
            </w:r>
          </w:p>
        </w:tc>
        <w:tc>
          <w:tcPr>
            <w:tcW w:type="dxa" w:w="1242"/>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Marketplace</w:t>
            </w:r>
          </w:p>
        </w:tc>
        <w:tc>
          <w:tcPr>
            <w:tcW w:type="dxa" w:w="2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Est. 15-25% gross margin</w:t>
            </w:r>
          </w:p>
        </w:tc>
        <w:tc>
          <w:tcPr>
            <w:tcW w:type="dxa" w:w="2866"/>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Retrenchment (Laserhub headcount down ~40%)</w:t>
            </w:r>
          </w:p>
        </w:tc>
        <w:tc>
          <w:tcPr>
            <w:tcW w:type="dxa" w:w="1242"/>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ASSUMPTION [see workbook]</w:t>
            </w:r>
          </w:p>
        </w:tc>
      </w:tr>
    </w:tbl>
    <w:p>
      <w:pPr>
        <w:spacing w:after="80"/>
      </w:pPr>
    </w:p>
    <w:p>
      <w:pPr>
        <w:spacing w:after="120" w:line="264" w:lineRule="auto"/>
      </w:pPr>
      <w:r>
        <w:rPr>
          <w:rFonts w:ascii="Arial" w:cs="Arial" w:eastAsia="Arial" w:hAnsi="Arial"/>
          <w:b w:val="false"/>
          <w:bCs w:val="false"/>
          <w:i w:val="false"/>
          <w:iCs w:val="false"/>
          <w:color w:val="000000"/>
          <w:sz w:val="21"/>
          <w:szCs w:val="21"/>
        </w:rPr>
        <w:t xml:space="preserve">The comparison is not entirely fair to marketplaces: gross margin is not EBITDA, and Weerg's 40% is a company claim. But the direction is consistent everywhere it can be checked. The marketplace model spends its 30-35% take rate on customer acquisition, quality escalations and logistics coordination, and in Europe it has not yet covered those costs at any disclosed scale. The asset-heavy model converts the same customer price into contribution margin because the production spread stays in-house. Protolabs is the cleanest natural experiment: one company, both models, and the factories fund the network.</w:t>
      </w:r>
    </w:p>
    <w:p>
      <w:pPr>
        <w:spacing w:after="120" w:line="264" w:lineRule="auto"/>
      </w:pPr>
      <w:r>
        <w:rPr>
          <w:rFonts w:ascii="Arial" w:cs="Arial" w:eastAsia="Arial" w:hAnsi="Arial"/>
          <w:b w:val="false"/>
          <w:bCs w:val="false"/>
          <w:i w:val="false"/>
          <w:iCs w:val="false"/>
          <w:color w:val="000000"/>
          <w:sz w:val="21"/>
          <w:szCs w:val="21"/>
        </w:rPr>
        <w:t xml:space="preserve">Verdict on the working hypothesis: validated, with one caveat that matters. Asset-heavy wins on profitability only with high utilization and process uniformity. Weerg's economics come from 28-30 identical machines fed by one quoting engine, not from owning machines per se. An underutilized machine park is worse than a marketplace. The corollary: buy machines behind demand, not ahead of it, and keep the fleet homogeneous.</w:t>
      </w:r>
    </w:p>
    <w:p>
      <w:pPr>
        <w:pStyle w:val="Heading2"/>
        <w:spacing w:after="120" w:before="220"/>
      </w:pPr>
      <w:r>
        <w:rPr>
          <w:rFonts w:ascii="Arial" w:cs="Arial" w:eastAsia="Arial" w:hAnsi="Arial"/>
          <w:b/>
          <w:bCs/>
          <w:color w:val="1F3864"/>
          <w:sz w:val="24"/>
          <w:szCs w:val="24"/>
        </w:rPr>
        <w:t xml:space="preserve">3.2 Entry scenarios: CAPEX and payback</w:t>
      </w:r>
    </w:p>
    <w:p>
      <w:pPr>
        <w:spacing w:after="120" w:line="264" w:lineRule="auto"/>
      </w:pPr>
      <w:r>
        <w:rPr>
          <w:rFonts w:ascii="Arial" w:cs="Arial" w:eastAsia="Arial" w:hAnsi="Arial"/>
          <w:b w:val="false"/>
          <w:bCs w:val="false"/>
          <w:i w:val="false"/>
          <w:iCs w:val="false"/>
          <w:color w:val="000000"/>
          <w:sz w:val="21"/>
          <w:szCs w:val="21"/>
        </w:rPr>
        <w:t xml:space="preserve">Two starter scenarios are modeled in full in the workbook with editable assumptions (machine count, utilization, realized price per machine-hour or per cm3, labor, energy). Defaults are set conservatively and calibrated against the Weerg anchor. Summary at defaults: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5"/>
        <w:gridCol w:w="3481"/>
        <w:gridCol w:w="3481"/>
      </w:tblGrid>
      <w:tr>
        <w:trPr>
          <w:tblHeader/>
        </w:trPr>
        <w:tc>
          <w:tcPr>
            <w:tcW w:type="dxa" w:w="2785"/>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Metric</w:t>
            </w:r>
          </w:p>
        </w:tc>
        <w:tc>
          <w:tcPr>
            <w:tcW w:type="dxa" w:w="3481"/>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A: FDM farm, 25 units</w:t>
            </w:r>
          </w:p>
        </w:tc>
        <w:tc>
          <w:tcPr>
            <w:tcW w:type="dxa" w:w="3481"/>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B: single MJF cell (HP 5600-class)</w:t>
            </w:r>
          </w:p>
        </w:tc>
      </w:tr>
      <w:tr>
        <w:tc>
          <w:tcPr>
            <w:tcW w:type="dxa" w:w="278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Total CAPEX incl. 10% contingency</w:t>
            </w:r>
          </w:p>
        </w:tc>
        <w:tc>
          <w:tcPr>
            <w:tcW w:type="dxa" w:w="34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192,500</w:t>
            </w:r>
          </w:p>
        </w:tc>
        <w:tc>
          <w:tcPr>
            <w:tcW w:type="dxa" w:w="34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660,000</w:t>
            </w:r>
          </w:p>
        </w:tc>
      </w:tr>
      <w:tr>
        <w:tc>
          <w:tcPr>
            <w:tcW w:type="dxa" w:w="278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Key CAPEX inputs</w:t>
            </w:r>
          </w:p>
        </w:tc>
        <w:tc>
          <w:tcPr>
            <w:tcW w:type="dxa" w:w="34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3,000/machine + EUR 100k fit-out and quoting engine</w:t>
            </w:r>
          </w:p>
        </w:tc>
        <w:tc>
          <w:tcPr>
            <w:tcW w:type="dxa" w:w="34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500k printer + processing station [45] + EUR 100k ancillaries and fit-out</w:t>
            </w:r>
          </w:p>
        </w:tc>
      </w:tr>
      <w:tr>
        <w:tc>
          <w:tcPr>
            <w:tcW w:type="dxa" w:w="278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Steady-state revenue</w:t>
            </w:r>
          </w:p>
        </w:tc>
        <w:tc>
          <w:tcPr>
            <w:tcW w:type="dxa" w:w="34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438,000 (50% utilization, EUR 4.00/machine-hour)</w:t>
            </w:r>
          </w:p>
        </w:tc>
        <w:tc>
          <w:tcPr>
            <w:tcW w:type="dxa" w:w="34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541,200 (6 builds/week, 11% packing, EUR 0.40/cm3)</w:t>
            </w:r>
          </w:p>
        </w:tc>
      </w:tr>
      <w:tr>
        <w:tc>
          <w:tcPr>
            <w:tcW w:type="dxa" w:w="278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Steady-state EBITDA</w:t>
            </w:r>
          </w:p>
        </w:tc>
        <w:tc>
          <w:tcPr>
            <w:tcW w:type="dxa" w:w="34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165,000 (37.8%)</w:t>
            </w:r>
          </w:p>
        </w:tc>
        <w:tc>
          <w:tcPr>
            <w:tcW w:type="dxa" w:w="34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219,000 (40.4%)</w:t>
            </w:r>
          </w:p>
        </w:tc>
      </w:tr>
      <w:tr>
        <w:tc>
          <w:tcPr>
            <w:tcW w:type="dxa" w:w="278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Payback incl. 50% year-1 ramp</w:t>
            </w:r>
          </w:p>
        </w:tc>
        <w:tc>
          <w:tcPr>
            <w:tcW w:type="dxa" w:w="34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~2.2 years</w:t>
            </w:r>
          </w:p>
        </w:tc>
        <w:tc>
          <w:tcPr>
            <w:tcW w:type="dxa" w:w="3481"/>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~3.7 years</w:t>
            </w:r>
          </w:p>
        </w:tc>
      </w:tr>
      <w:tr>
        <w:tc>
          <w:tcPr>
            <w:tcW w:type="dxa" w:w="278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Revenue per EUR of CAPEX</w:t>
            </w:r>
          </w:p>
        </w:tc>
        <w:tc>
          <w:tcPr>
            <w:tcW w:type="dxa" w:w="34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2.3</w:t>
            </w:r>
          </w:p>
        </w:tc>
        <w:tc>
          <w:tcPr>
            <w:tcW w:type="dxa" w:w="3481"/>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0.8</w:t>
            </w:r>
          </w:p>
        </w:tc>
      </w:tr>
    </w:tbl>
    <w:p>
      <w:pPr>
        <w:spacing w:after="80"/>
      </w:pPr>
    </w:p>
    <w:p>
      <w:pPr>
        <w:spacing w:after="120" w:line="264" w:lineRule="auto"/>
      </w:pPr>
      <w:r>
        <w:rPr>
          <w:rFonts w:ascii="Arial" w:cs="Arial" w:eastAsia="Arial" w:hAnsi="Arial"/>
          <w:b w:val="false"/>
          <w:bCs w:val="false"/>
          <w:i w:val="false"/>
          <w:iCs w:val="false"/>
          <w:color w:val="000000"/>
          <w:sz w:val="21"/>
          <w:szCs w:val="21"/>
        </w:rPr>
        <w:t xml:space="preserve">Sensitivities worth knowing before committing. Scenario A lives and dies on realized price per machine-hour: at EUR 3.00 the margin drops to about 25% and payback stretches past 3 years; at EUR 6.00 (achievable on engineering materials and finishing) it prints cash. Scenario B is dominated by utilization: at 3 builds a week the cell loses money; at 2 builds a day with an extra build unit it approaches Weerg-class returns. A Formlabs Fuse SLS cell at about USD 57k complete [45] is a rational pilot: one tenth the CAPEX and throughput of the HP cell, enough to validate PA12 demand before the big purchase.</w:t>
      </w:r>
    </w:p>
    <w:p>
      <w:pPr>
        <w:spacing w:after="120" w:line="264" w:lineRule="auto"/>
      </w:pPr>
      <w:r>
        <w:rPr>
          <w:rFonts w:ascii="Arial" w:cs="Arial" w:eastAsia="Arial" w:hAnsi="Arial"/>
          <w:b w:val="false"/>
          <w:bCs w:val="false"/>
          <w:i w:val="false"/>
          <w:iCs w:val="false"/>
          <w:color w:val="000000"/>
          <w:sz w:val="21"/>
          <w:szCs w:val="21"/>
        </w:rPr>
        <w:t xml:space="preserve">Poland is the cost side of the thesis: manufacturing labour at EUR 17.10/hour versus EUR 49.50 in Germany (2025, FACT [16]) and regional-city rents. Labour is 25-30% of operating cost in both models, so the Polish base adds roughly 8-12 points of EBITDA relative to a German operator at identical prices. Polish labour costs are rising 8.8% a year [16], which erodes but does not close the gap within a decade.</w:t>
      </w:r>
    </w:p>
    <w:p>
      <w:r>
        <w:br w:type="page"/>
      </w:r>
    </w:p>
    <w:p>
      <w:pPr>
        <w:pStyle w:val="Heading1"/>
        <w:spacing w:after="160" w:before="280"/>
      </w:pPr>
      <w:r>
        <w:rPr>
          <w:rFonts w:ascii="Arial" w:cs="Arial" w:eastAsia="Arial" w:hAnsi="Arial"/>
          <w:b/>
          <w:bCs/>
          <w:color w:val="1F3864"/>
          <w:sz w:val="30"/>
          <w:szCs w:val="30"/>
        </w:rPr>
        <w:t xml:space="preserve">4. Pricing benchmark</w:t>
      </w:r>
    </w:p>
    <w:p>
      <w:pPr>
        <w:spacing w:after="120" w:line="264" w:lineRule="auto"/>
      </w:pPr>
      <w:r>
        <w:rPr>
          <w:rFonts w:ascii="Arial" w:cs="Arial" w:eastAsia="Arial" w:hAnsi="Arial"/>
          <w:b w:val="false"/>
          <w:bCs w:val="false"/>
          <w:i w:val="false"/>
          <w:iCs w:val="false"/>
          <w:color w:val="000000"/>
          <w:sz w:val="21"/>
          <w:szCs w:val="21"/>
        </w:rPr>
        <w:t xml:space="preserve">Method and its limits, stated plainly: no live CAD uploads were made for this audit. Prices below combine published rate cards and minimums (FACT), providers' own published example quotes (FACT, some [STALE]), and two third-party tests that quoted identical STLs across services, All3DP June 2026 and July 2024 [30][31]. Ranges are triangulated estimates; the workbook carries the full reasoning per cell. Reference parts: A = PA12 bracket, 50x40x30 mm, ~20 cm3, MJF/SLS. B = ABS/ASA enclosure, 120x80x40 mm, ~75 g, FDM. C = 6061/6082 aluminum flange, 80 mm diameter x 15 mm, CNC.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975"/>
        <w:gridCol w:w="975"/>
        <w:gridCol w:w="975"/>
        <w:gridCol w:w="975"/>
        <w:gridCol w:w="975"/>
        <w:gridCol w:w="1170"/>
        <w:gridCol w:w="2047"/>
      </w:tblGrid>
      <w:tr>
        <w:trPr>
          <w:tblHeader/>
        </w:trPr>
        <w:tc>
          <w:tcPr>
            <w:tcW w:type="dxa" w:w="1657"/>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Provider</w:t>
            </w:r>
          </w:p>
        </w:tc>
        <w:tc>
          <w:tcPr>
            <w:tcW w:type="dxa" w:w="975"/>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A qty 1</w:t>
            </w:r>
          </w:p>
        </w:tc>
        <w:tc>
          <w:tcPr>
            <w:tcW w:type="dxa" w:w="975"/>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A qty 10 ea</w:t>
            </w:r>
          </w:p>
        </w:tc>
        <w:tc>
          <w:tcPr>
            <w:tcW w:type="dxa" w:w="975"/>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B qty 1</w:t>
            </w:r>
          </w:p>
        </w:tc>
        <w:tc>
          <w:tcPr>
            <w:tcW w:type="dxa" w:w="975"/>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C qty 1</w:t>
            </w:r>
          </w:p>
        </w:tc>
        <w:tc>
          <w:tcPr>
            <w:tcW w:type="dxa" w:w="975"/>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C qty 10 ea</w:t>
            </w:r>
          </w:p>
        </w:tc>
        <w:tc>
          <w:tcPr>
            <w:tcW w:type="dxa" w:w="1170"/>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Min order</w:t>
            </w:r>
          </w:p>
        </w:tc>
        <w:tc>
          <w:tcPr>
            <w:tcW w:type="dxa" w:w="2047"/>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Quote access</w:t>
            </w:r>
          </w:p>
        </w:tc>
      </w:tr>
      <w:tr>
        <w:tc>
          <w:tcPr>
            <w:tcW w:type="dxa" w:w="165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JLC3DP / JLCCNC (CN)</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$4-8</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$3-6</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$5-10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$18-35</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$8-14</w:t>
            </w:r>
          </w:p>
        </w:tc>
        <w:tc>
          <w:tcPr>
            <w:tcW w:type="dxa" w:w="117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none</w:t>
            </w:r>
          </w:p>
        </w:tc>
        <w:tc>
          <w:tcPr>
            <w:tcW w:type="dxa" w:w="204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account to upload</w:t>
            </w:r>
          </w:p>
        </w:tc>
      </w:tr>
      <w:tr>
        <w:tc>
          <w:tcPr>
            <w:tcW w:type="dxa" w:w="165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PCBWay (CN)</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$25 (min floor)</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$4-7</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$25 (min floor)</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$25-45</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$8-15</w:t>
            </w:r>
          </w:p>
        </w:tc>
        <w:tc>
          <w:tcPr>
            <w:tcW w:type="dxa" w:w="117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$25 FACT</w:t>
            </w:r>
          </w:p>
        </w:tc>
        <w:tc>
          <w:tcPr>
            <w:tcW w:type="dxa" w:w="204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estimate, manual confirm</w:t>
            </w:r>
          </w:p>
        </w:tc>
      </w:tr>
      <w:tr>
        <w:tc>
          <w:tcPr>
            <w:tcW w:type="dxa" w:w="165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RapidDirect (CN)</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$12-22</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$5-9</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$15-30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$30-60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$10-18</w:t>
            </w:r>
          </w:p>
        </w:tc>
        <w:tc>
          <w:tcPr>
            <w:tcW w:type="dxa" w:w="117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none</w:t>
            </w:r>
          </w:p>
        </w:tc>
        <w:tc>
          <w:tcPr>
            <w:tcW w:type="dxa" w:w="204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+ 24h fallback; account</w:t>
            </w:r>
          </w:p>
        </w:tc>
      </w:tr>
      <w:tr>
        <w:tc>
          <w:tcPr>
            <w:tcW w:type="dxa" w:w="165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Craftcloud</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$12-25+ship</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$6-12</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$18-35+ship</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$50-110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$15-35</w:t>
            </w:r>
          </w:p>
        </w:tc>
        <w:tc>
          <w:tcPr>
            <w:tcW w:type="dxa" w:w="117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none FACT</w:t>
            </w:r>
          </w:p>
        </w:tc>
        <w:tc>
          <w:tcPr>
            <w:tcW w:type="dxa" w:w="204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no login; CNC needs 2D drawing</w:t>
            </w:r>
          </w:p>
        </w:tc>
      </w:tr>
      <w:tr>
        <w:tc>
          <w:tcPr>
            <w:tcW w:type="dxa" w:w="165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Xometry Europe</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18-28</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9-16</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25-40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60-120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18-35</w:t>
            </w:r>
          </w:p>
        </w:tc>
        <w:tc>
          <w:tcPr>
            <w:tcW w:type="dxa" w:w="117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30 FACT</w:t>
            </w:r>
          </w:p>
        </w:tc>
        <w:tc>
          <w:tcPr>
            <w:tcW w:type="dxa" w:w="204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login required</w:t>
            </w:r>
          </w:p>
        </w:tc>
      </w:tr>
      <w:tr>
        <w:tc>
          <w:tcPr>
            <w:tcW w:type="dxa" w:w="165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Weerg (IT)</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10-20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5-10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15-30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40-80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14-28</w:t>
            </w:r>
          </w:p>
        </w:tc>
        <w:tc>
          <w:tcPr>
            <w:tcW w:type="dxa" w:w="117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none</w:t>
            </w:r>
          </w:p>
        </w:tc>
        <w:tc>
          <w:tcPr>
            <w:tcW w:type="dxa" w:w="204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no login</w:t>
            </w:r>
          </w:p>
        </w:tc>
      </w:tr>
      <w:tr>
        <w:tc>
          <w:tcPr>
            <w:tcW w:type="dxa" w:w="165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Sculpteo (FR)</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20-35</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10-18</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30-50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 CNC</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 CNC</w:t>
            </w:r>
          </w:p>
        </w:tc>
        <w:tc>
          <w:tcPr>
            <w:tcW w:type="dxa" w:w="117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Economy gate EUR 10/unit</w:t>
            </w:r>
          </w:p>
        </w:tc>
        <w:tc>
          <w:tcPr>
            <w:tcW w:type="dxa" w:w="204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after account</w:t>
            </w:r>
          </w:p>
        </w:tc>
      </w:tr>
      <w:tr>
        <w:tc>
          <w:tcPr>
            <w:tcW w:type="dxa" w:w="165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Shapeways (NL)</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$20-35</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$12-20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n/a</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 CNC</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 CNC</w:t>
            </w:r>
          </w:p>
        </w:tc>
        <w:tc>
          <w:tcPr>
            <w:tcW w:type="dxa" w:w="117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not published</w:t>
            </w:r>
          </w:p>
        </w:tc>
        <w:tc>
          <w:tcPr>
            <w:tcW w:type="dxa" w:w="204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after account</w:t>
            </w:r>
          </w:p>
        </w:tc>
      </w:tr>
      <w:tr>
        <w:tc>
          <w:tcPr>
            <w:tcW w:type="dxa" w:w="165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Protolabs</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$100-150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$20-40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$100-150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$150-300</w:t>
            </w:r>
          </w:p>
        </w:tc>
        <w:tc>
          <w:tcPr>
            <w:tcW w:type="dxa" w:w="97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$30-60</w:t>
            </w:r>
          </w:p>
        </w:tc>
        <w:tc>
          <w:tcPr>
            <w:tcW w:type="dxa" w:w="117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~$95 floor FACT</w:t>
            </w:r>
          </w:p>
        </w:tc>
        <w:tc>
          <w:tcPr>
            <w:tcW w:type="dxa" w:w="204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account</w:t>
            </w:r>
          </w:p>
        </w:tc>
      </w:tr>
      <w:tr>
        <w:tc>
          <w:tcPr>
            <w:tcW w:type="dxa" w:w="165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Hubs / PL Network</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$35-60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$10-20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$40-70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$80-150</w:t>
            </w:r>
          </w:p>
        </w:tc>
        <w:tc>
          <w:tcPr>
            <w:tcW w:type="dxa" w:w="97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$20-40</w:t>
            </w:r>
          </w:p>
        </w:tc>
        <w:tc>
          <w:tcPr>
            <w:tcW w:type="dxa" w:w="117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not published</w:t>
            </w:r>
          </w:p>
        </w:tc>
        <w:tc>
          <w:tcPr>
            <w:tcW w:type="dxa" w:w="204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instant (98%); account</w:t>
            </w:r>
          </w:p>
        </w:tc>
      </w:tr>
    </w:tbl>
    <w:p>
      <w:pPr>
        <w:spacing w:after="140" w:line="264" w:lineRule="auto"/>
      </w:pPr>
      <w:r>
        <w:rPr>
          <w:rFonts w:ascii="Arial" w:cs="Arial" w:eastAsia="Arial" w:hAnsi="Arial"/>
          <w:b w:val="false"/>
          <w:bCs w:val="false"/>
          <w:i/>
          <w:iCs/>
          <w:color w:val="595959"/>
          <w:sz w:val="18"/>
          <w:szCs w:val="18"/>
        </w:rPr>
        <w:t xml:space="preserve">Chinese prices exclude EUR 10-25 courier shipping, the EUR 3/line duty and any carrier disbursement fees. Anchors: Xometry's own published MJF PA12 reference EUR 18.29 qty 1 [32, Dec 2023 page maintained Oct 2025, STALE]; All3DP June 2026: SLS nylon enclosure USD 8.81 plus USD 14 shipping via Craftcloud's cheapest partner; Protolabs USD 297 for a qty-1 MJF part in the 2024 test [30][31].</w:t>
      </w:r>
    </w:p>
    <w:p>
      <w:pPr>
        <w:spacing w:after="120" w:line="264" w:lineRule="auto"/>
      </w:pPr>
      <w:r>
        <w:rPr>
          <w:rFonts w:ascii="Arial" w:cs="Arial" w:eastAsia="Arial" w:hAnsi="Arial"/>
          <w:b w:val="false"/>
          <w:bCs w:val="false"/>
          <w:i w:val="false"/>
          <w:iCs w:val="false"/>
          <w:color w:val="000000"/>
          <w:sz w:val="21"/>
          <w:szCs w:val="21"/>
        </w:rPr>
        <w:t xml:space="preserve">Where instant quoting failed or fell back to manual RFQ: Sculpteo and Shapeways offer no CNC at all. Craftcloud shows instant CNC prices but partners routinely demand a 2D PDF drawing and a sales confirmation. Facturee and CNC24 are manual-RFQ by design. PCBWay's instant price is provisional until human review. Toleranced or threaded drawings trigger manual review even at the platforms that advertise instant CNC.</w:t>
      </w:r>
    </w:p>
    <w:p>
      <w:pPr>
        <w:spacing w:after="120" w:line="264" w:lineRule="auto"/>
      </w:pPr>
      <w:r>
        <w:rPr>
          <w:rFonts w:ascii="Arial" w:cs="Arial" w:eastAsia="Arial" w:hAnsi="Arial"/>
          <w:b w:val="false"/>
          <w:bCs w:val="false"/>
          <w:i w:val="false"/>
          <w:iCs w:val="false"/>
          <w:color w:val="000000"/>
          <w:sz w:val="21"/>
          <w:szCs w:val="21"/>
        </w:rPr>
        <w:t xml:space="preserve">Three facts from the table drive strategy. First, the spread on identical parts is 4-5x, so there is room to undercut every EU incumbent while holding a 40% margin from a Polish cost base. Second, minimum fees, not per-gram rates, decide qty-1 pricing; a low minimum (EUR 10-15) with honest shipping is the single strongest acquisition lever against Xometry and Protolabs. Third, only Weerg and Craftcloud quote without a login. Every account wall is a conversion tax on the engineer-with-a-credit-card segment.</w:t>
      </w:r>
    </w:p>
    <w:p>
      <w:r>
        <w:br w:type="page"/>
      </w:r>
    </w:p>
    <w:p>
      <w:pPr>
        <w:pStyle w:val="Heading1"/>
        <w:spacing w:after="160" w:before="280"/>
      </w:pPr>
      <w:r>
        <w:rPr>
          <w:rFonts w:ascii="Arial" w:cs="Arial" w:eastAsia="Arial" w:hAnsi="Arial"/>
          <w:b/>
          <w:bCs/>
          <w:color w:val="1F3864"/>
          <w:sz w:val="30"/>
          <w:szCs w:val="30"/>
        </w:rPr>
        <w:t xml:space="preserve">5. Customer segmentation</w:t>
      </w:r>
    </w:p>
    <w:p>
      <w:pPr>
        <w:pStyle w:val="Heading2"/>
        <w:spacing w:after="120" w:before="220"/>
      </w:pPr>
      <w:r>
        <w:rPr>
          <w:rFonts w:ascii="Arial" w:cs="Arial" w:eastAsia="Arial" w:hAnsi="Arial"/>
          <w:b/>
          <w:bCs/>
          <w:color w:val="1F3864"/>
          <w:sz w:val="24"/>
          <w:szCs w:val="24"/>
        </w:rPr>
        <w:t xml:space="preserve">5.1 The prosumer / SMB engineer hypothesis</w:t>
      </w:r>
    </w:p>
    <w:p>
      <w:pPr>
        <w:spacing w:after="120" w:line="264" w:lineRule="auto"/>
      </w:pPr>
      <w:r>
        <w:rPr>
          <w:rFonts w:ascii="Arial" w:cs="Arial" w:eastAsia="Arial" w:hAnsi="Arial"/>
          <w:b w:val="false"/>
          <w:bCs w:val="false"/>
          <w:i w:val="false"/>
          <w:iCs w:val="false"/>
          <w:color w:val="000000"/>
          <w:sz w:val="21"/>
          <w:szCs w:val="21"/>
        </w:rPr>
        <w:t xml:space="preserve">The hypothesis: EU individual engineers and small hardware teams are underserved and buy from China. Evidence for: EU platform frictions are real and documented (Protolabs' USD 95 practical floor [42], Xometry's EUR 30 minimum plus account wall, Sculpteo's EUR-10-per-unit Economy gate [43]). The category's consumer champions left the field: i.materialise closed October 2025 [7], Shapeways is a shadow of its 2021 self [8]. JLC3DP's sub-dollar pricing exists precisely to harvest this segment [33]. 91% of sub-EUR-150 e-commerce parcels entering the EU in 2024 came from China (all categories, not parts-specific [47]). European search demand for China-specific CNC machining grew 45% from 2023 to 2025, and 63% of those requests were for 50 units or fewer [46].</w:t>
      </w:r>
    </w:p>
    <w:p>
      <w:pPr>
        <w:spacing w:after="120" w:line="264" w:lineRule="auto"/>
      </w:pPr>
      <w:r>
        <w:rPr>
          <w:rFonts w:ascii="Arial" w:cs="Arial" w:eastAsia="Arial" w:hAnsi="Arial"/>
          <w:b w:val="false"/>
          <w:bCs w:val="false"/>
          <w:i w:val="false"/>
          <w:iCs w:val="false"/>
          <w:color w:val="000000"/>
          <w:sz w:val="21"/>
          <w:szCs w:val="21"/>
        </w:rPr>
        <w:t xml:space="preserve">Evidence against, stated with equal weight: nobody has measured the EU prosumer parts-by-mail flow to China. JLC3DP's Trustpilot base is thin. Bottom-up sizing lands at EUR 10-90M a year for EU prosumer parts-by-mail, a wide band built entirely on assumptions (1-2M potential engineer-buyers, 5-15% purchase incidence, EUR 100-300 orders). Verdict: directionally supported, magnitude unproven. This is the single most important thing to validate cheaply: put up a Polish/German quoting landing page, buy EUR 3-5k of search traffic, and measure quote-to-order conversion before scaling the FDM farm.</w:t>
      </w:r>
    </w:p>
    <w:p>
      <w:pPr>
        <w:pStyle w:val="Heading2"/>
        <w:spacing w:after="120" w:before="220"/>
      </w:pPr>
      <w:r>
        <w:rPr>
          <w:rFonts w:ascii="Arial" w:cs="Arial" w:eastAsia="Arial" w:hAnsi="Arial"/>
          <w:b/>
          <w:bCs/>
          <w:color w:val="1F3864"/>
          <w:sz w:val="24"/>
          <w:szCs w:val="24"/>
        </w:rPr>
        <w:t xml:space="preserve">5.2 Defense and dual-use demand</w:t>
      </w:r>
    </w:p>
    <w:p>
      <w:pPr>
        <w:spacing w:after="120" w:line="264" w:lineRule="auto"/>
      </w:pPr>
      <w:r>
        <w:rPr>
          <w:rFonts w:ascii="Arial" w:cs="Arial" w:eastAsia="Arial" w:hAnsi="Arial"/>
          <w:b w:val="false"/>
          <w:bCs w:val="false"/>
          <w:i w:val="false"/>
          <w:iCs w:val="false"/>
          <w:color w:val="000000"/>
          <w:sz w:val="21"/>
          <w:szCs w:val="21"/>
        </w:rPr>
        <w:t xml:space="preserve">The policy stack is now law, not proposal. EDIP received final Council approval on 8 December 2025 and its EUR 1.5B 2026-27 work programme was adopted on 30 March 2026, including a EUR 100M FAST equity fund for defense startups and SMEs [22][23]. EDIP eligibility caps non-EU component cost at 35% of the end product and requires EU design authority [24]. SAFE (EUR 150B in loans) began disbursing in early 2026; Poland is the largest recipient at EUR 43.7B [25]. Poland's 2026 defense budget is about PLN 200B, 4.8% of GDP, the highest share in NATO [26]. Germany approved a record EUR 52B batch of orders in December 2025 [48].</w:t>
      </w:r>
    </w:p>
    <w:p>
      <w:pPr>
        <w:spacing w:after="120" w:line="264" w:lineRule="auto"/>
      </w:pPr>
      <w:r>
        <w:rPr>
          <w:rFonts w:ascii="Arial" w:cs="Arial" w:eastAsia="Arial" w:hAnsi="Arial"/>
          <w:b w:val="false"/>
          <w:bCs w:val="false"/>
          <w:i w:val="false"/>
          <w:iCs w:val="false"/>
          <w:color w:val="000000"/>
          <w:sz w:val="21"/>
          <w:szCs w:val="21"/>
        </w:rPr>
        <w:t xml:space="preserve">The demand is concrete at the startup layer. Tytan Technologies flies 3D-printed interceptor airframes and is scaling to 3,000 units a month in a new Bavarian factory [27]. Helsing uses 3D printing to cut HX-2 drone cost. Germany split about EUR 900M of strike-drone contracts across STARK, Helsing and Rheinmetall. WB Group signed Poland's largest unmanned-systems contract at about EUR 2.75B in June 2026 [28]. A caution flag: no public case study names a service bureau supplying these companies, and the pattern (Tytan included) is to insource production at scale. The service window is prototype-to-early-serial, roughly the first two to three years of each program.</w:t>
      </w:r>
    </w:p>
    <w:p>
      <w:pPr>
        <w:spacing w:after="120" w:line="264" w:lineRule="auto"/>
      </w:pPr>
      <w:r>
        <w:rPr>
          <w:rFonts w:ascii="Arial" w:cs="Arial" w:eastAsia="Arial" w:hAnsi="Arial"/>
          <w:b w:val="false"/>
          <w:bCs w:val="false"/>
          <w:i w:val="false"/>
          <w:iCs w:val="false"/>
          <w:color w:val="000000"/>
          <w:sz w:val="21"/>
          <w:szCs w:val="21"/>
        </w:rPr>
        <w:t xml:space="preserve">Supplier requirements are lighter than feared at the entry point. For prototype work, the practical bar is ISO 9001, an NDA, EU location, and increasingly a no-China supply chain attestation (ASSUMPTION, reasoned in the workbook; no public evidence contradicts it). AQAP 2110 or EN 9100 becomes relevant at serialization and when selling into primes; an upgrade from a working ISO 9001 system takes roughly 3-6 months [37]. The EDIP 35% origin cap does the marketing for an EU supplier: buyers must document origin to keep eligibility, and a Chinese quote portal cannot sign that paper. Xometry's EU terms prohibit weapons work by default; Protolabs' ITAR registration covers only US plants. The defense-attestable quick-turn niche in CEE is empty.</w:t>
      </w:r>
    </w:p>
    <w:p>
      <w:r>
        <w:br w:type="page"/>
      </w:r>
    </w:p>
    <w:p>
      <w:pPr>
        <w:pStyle w:val="Heading1"/>
        <w:spacing w:after="160" w:before="280"/>
      </w:pPr>
      <w:r>
        <w:rPr>
          <w:rFonts w:ascii="Arial" w:cs="Arial" w:eastAsia="Arial" w:hAnsi="Arial"/>
          <w:b/>
          <w:bCs/>
          <w:color w:val="1F3864"/>
          <w:sz w:val="30"/>
          <w:szCs w:val="30"/>
        </w:rPr>
        <w:t xml:space="preserve">6. Structural moats</w:t>
      </w:r>
    </w:p>
    <w:p>
      <w:pPr>
        <w:pStyle w:val="Heading2"/>
        <w:spacing w:after="120" w:before="220"/>
      </w:pPr>
      <w:r>
        <w:rPr>
          <w:rFonts w:ascii="Arial" w:cs="Arial" w:eastAsia="Arial" w:hAnsi="Arial"/>
          <w:b/>
          <w:bCs/>
          <w:color w:val="1F3864"/>
          <w:sz w:val="24"/>
          <w:szCs w:val="24"/>
        </w:rPr>
        <w:t xml:space="preserve">6.1 Customs and VAT against the Chinese price floor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3945"/>
        <w:gridCol w:w="4177"/>
      </w:tblGrid>
      <w:tr>
        <w:trPr>
          <w:tblHeader/>
        </w:trPr>
        <w:tc>
          <w:tcPr>
            <w:tcW w:type="dxa" w:w="1624"/>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Date</w:t>
            </w:r>
          </w:p>
        </w:tc>
        <w:tc>
          <w:tcPr>
            <w:tcW w:type="dxa" w:w="3945"/>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Measure</w:t>
            </w:r>
          </w:p>
        </w:tc>
        <w:tc>
          <w:tcPr>
            <w:tcW w:type="dxa" w:w="4177"/>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Effect on a Chinese parts order</w:t>
            </w:r>
          </w:p>
        </w:tc>
      </w:tr>
      <w:tr>
        <w:tc>
          <w:tcPr>
            <w:tcW w:type="dxa" w:w="1624"/>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Since Jul 2021</w:t>
            </w:r>
          </w:p>
        </w:tc>
        <w:tc>
          <w:tcPr>
            <w:tcW w:type="dxa" w:w="394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IOSS; no import-VAT exemption at any value</w:t>
            </w:r>
          </w:p>
        </w:tc>
        <w:tc>
          <w:tcPr>
            <w:tcW w:type="dxa" w:w="417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VAT 19-23% collected at checkout (neutral vs EU sellers, but adds collection friction)</w:t>
            </w:r>
          </w:p>
        </w:tc>
      </w:tr>
      <w:tr>
        <w:tc>
          <w:tcPr>
            <w:tcW w:type="dxa" w:w="1624"/>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 Jul 2026</w:t>
            </w:r>
          </w:p>
        </w:tc>
        <w:tc>
          <w:tcPr>
            <w:tcW w:type="dxa" w:w="394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3 flat customs duty per tariff line, sub-EUR-150 parcels (in force)</w:t>
            </w:r>
          </w:p>
        </w:tc>
        <w:tc>
          <w:tcPr>
            <w:tcW w:type="dxa" w:w="417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+EUR 3-9 typical per order plus carrier disbursement fees where not DDP [20][21]</w:t>
            </w:r>
          </w:p>
        </w:tc>
      </w:tr>
      <w:tr>
        <w:tc>
          <w:tcPr>
            <w:tcW w:type="dxa" w:w="1624"/>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~Nov 2026 (under negotiation)</w:t>
            </w:r>
          </w:p>
        </w:tc>
        <w:tc>
          <w:tcPr>
            <w:tcW w:type="dxa" w:w="3945"/>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EU-level parcel handling fee (~EUR 2); national fees proliferating (France EUR 5 since Jan 2026)</w:t>
            </w:r>
          </w:p>
        </w:tc>
        <w:tc>
          <w:tcPr>
            <w:tcW w:type="dxa" w:w="4177"/>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Further fixed-cost per parcel [21]</w:t>
            </w:r>
          </w:p>
        </w:tc>
      </w:tr>
      <w:tr>
        <w:tc>
          <w:tcPr>
            <w:tcW w:type="dxa" w:w="1624"/>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Target 1 Jul 2028</w:t>
            </w:r>
          </w:p>
        </w:tc>
        <w:tc>
          <w:tcPr>
            <w:tcW w:type="dxa" w:w="3945"/>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Customs data hub live; full ad-valorem tariffs replace the flat duty; CBAM downstream extension (~180 steel/alu product groups) proposed to apply from 2028</w:t>
            </w:r>
          </w:p>
        </w:tc>
        <w:tc>
          <w:tcPr>
            <w:tcW w:type="dxa" w:w="417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Structural, rising cost wedge [20][35]</w:t>
            </w:r>
          </w:p>
        </w:tc>
      </w:tr>
    </w:tbl>
    <w:p>
      <w:pPr>
        <w:spacing w:after="80"/>
      </w:pPr>
    </w:p>
    <w:p>
      <w:pPr>
        <w:spacing w:after="120" w:line="264" w:lineRule="auto"/>
      </w:pPr>
      <w:r>
        <w:rPr>
          <w:rFonts w:ascii="Arial" w:cs="Arial" w:eastAsia="Arial" w:hAnsi="Arial"/>
          <w:b w:val="false"/>
          <w:bCs w:val="false"/>
          <w:i w:val="false"/>
          <w:iCs w:val="false"/>
          <w:color w:val="000000"/>
          <w:sz w:val="21"/>
          <w:szCs w:val="21"/>
        </w:rPr>
        <w:t xml:space="preserve">Landed-cost math for a typical EUR 60 prosumer order from Shenzhen: 23% VAT (prepaid), EUR 3-9 flat duty, EUR 0-6 carrier fee, EUR 7-25 freight. Total uplift 30-45% over the ex-works price, plus 6-12 days door-to-door express and customs variance (ESTIMATE, components sourced [33][34]). The sticker-price gap survives; the convenience gap now favors EU suppliers on exactly the small, urgent orders this venture targets. CBAM adds little today (the 50-tonne threshold exempts small importers) but Chapter 76 aluminum articles are already in scope and the 2028 downstream extension would touch machined aluminum categories [35].</w:t>
      </w:r>
    </w:p>
    <w:p>
      <w:pPr>
        <w:pStyle w:val="Heading2"/>
        <w:spacing w:after="120" w:before="220"/>
      </w:pPr>
      <w:r>
        <w:rPr>
          <w:rFonts w:ascii="Arial" w:cs="Arial" w:eastAsia="Arial" w:hAnsi="Arial"/>
          <w:b/>
          <w:bCs/>
          <w:color w:val="1F3864"/>
          <w:sz w:val="24"/>
          <w:szCs w:val="24"/>
        </w:rPr>
        <w:t xml:space="preserve">6.2 IP security and export control</w:t>
      </w:r>
    </w:p>
    <w:p>
      <w:pPr>
        <w:spacing w:after="120" w:line="264" w:lineRule="auto"/>
      </w:pPr>
      <w:r>
        <w:rPr>
          <w:rFonts w:ascii="Arial" w:cs="Arial" w:eastAsia="Arial" w:hAnsi="Arial"/>
          <w:b w:val="false"/>
          <w:bCs w:val="false"/>
          <w:i w:val="false"/>
          <w:iCs w:val="false"/>
          <w:color w:val="000000"/>
          <w:sz w:val="21"/>
          <w:szCs w:val="21"/>
        </w:rPr>
        <w:t xml:space="preserve">Uploading controlled CAD to a Chinese portal is a licensable export under the EU dual-use regulation (Reg. 2021/821, transmission by electronic means counts) [36]. US prime flow-downs (DFARS) ban Chinese sourcing at any tier for controlled items, and EU suppliers inherit those clauses. Below the regulated layer, the Commission runs a dedicated China IP helpdesk for SMEs worried about design leakage. The moat is binding for defense, medtech and OEM program work and weak for hobbyists. Price it accordingly: the compliance layer is a premium product, not a default.</w:t>
      </w:r>
    </w:p>
    <w:p>
      <w:pPr>
        <w:pStyle w:val="Heading2"/>
        <w:spacing w:after="120" w:before="220"/>
      </w:pPr>
      <w:r>
        <w:rPr>
          <w:rFonts w:ascii="Arial" w:cs="Arial" w:eastAsia="Arial" w:hAnsi="Arial"/>
          <w:b/>
          <w:bCs/>
          <w:color w:val="1F3864"/>
          <w:sz w:val="24"/>
          <w:szCs w:val="24"/>
        </w:rPr>
        <w:t xml:space="preserve">6.3 Lead-time economics</w:t>
      </w:r>
    </w:p>
    <w:p>
      <w:pPr>
        <w:spacing w:after="120" w:line="264" w:lineRule="auto"/>
      </w:pPr>
      <w:r>
        <w:rPr>
          <w:rFonts w:ascii="Arial" w:cs="Arial" w:eastAsia="Arial" w:hAnsi="Arial"/>
          <w:b w:val="false"/>
          <w:bCs w:val="false"/>
          <w:i w:val="false"/>
          <w:iCs w:val="false"/>
          <w:color w:val="000000"/>
          <w:sz w:val="21"/>
          <w:szCs w:val="21"/>
        </w:rPr>
        <w:t xml:space="preserve">China express door-to-door lands at 6-12 days (2-5 days production, 3-7 days air, clearance variance) and multi-week Spring Festival gaps. A Polish plant ships D+1/D+2 into all of DACH via standard parcel networks, with no customs events, and same-week iteration [see workbook sources]. For a team running two or three prototype loops, that compounds to two to three weeks of calendar advantage per design cycle. This, not price, is the durable moat, and it is the one SendCutSend monetized in the US.</w:t>
      </w:r>
    </w:p>
    <w:p>
      <w:pPr>
        <w:pStyle w:val="Heading2"/>
        <w:spacing w:after="120" w:before="220"/>
      </w:pPr>
      <w:r>
        <w:rPr>
          <w:rFonts w:ascii="Arial" w:cs="Arial" w:eastAsia="Arial" w:hAnsi="Arial"/>
          <w:b/>
          <w:bCs/>
          <w:color w:val="1F3864"/>
          <w:sz w:val="24"/>
          <w:szCs w:val="24"/>
        </w:rPr>
        <w:t xml:space="preserve">6.4 ESG and CBAM angle</w:t>
      </w:r>
    </w:p>
    <w:p>
      <w:pPr>
        <w:spacing w:after="120" w:line="264" w:lineRule="auto"/>
      </w:pPr>
      <w:r>
        <w:rPr>
          <w:rFonts w:ascii="Arial" w:cs="Arial" w:eastAsia="Arial" w:hAnsi="Arial"/>
          <w:b w:val="false"/>
          <w:bCs w:val="false"/>
          <w:i w:val="false"/>
          <w:iCs w:val="false"/>
          <w:color w:val="000000"/>
          <w:sz w:val="21"/>
          <w:szCs w:val="21"/>
        </w:rPr>
        <w:t xml:space="preserve">Secondary but sellable: EU production with EU electricity and no air freight cuts embedded logistics emissions per part; Chinese aluminum runs 13-20 tCO2e per tonne against much lower EU smelter averages. From 2028 CBAM makes part of that difference a line item for volume buyers [35]. Treat as a marketing asset and tender checkbox, not a demand driver.</w:t>
      </w:r>
    </w:p>
    <w:p>
      <w:r>
        <w:br w:type="page"/>
      </w:r>
    </w:p>
    <w:p>
      <w:pPr>
        <w:pStyle w:val="Heading1"/>
        <w:spacing w:after="160" w:before="280"/>
      </w:pPr>
      <w:r>
        <w:rPr>
          <w:rFonts w:ascii="Arial" w:cs="Arial" w:eastAsia="Arial" w:hAnsi="Arial"/>
          <w:b/>
          <w:bCs/>
          <w:color w:val="1F3864"/>
          <w:sz w:val="30"/>
          <w:szCs w:val="30"/>
        </w:rPr>
        <w:t xml:space="preserve">7. White space and positioning</w:t>
      </w:r>
    </w:p>
    <w:p>
      <w:pPr>
        <w:spacing w:after="120" w:line="264" w:lineRule="auto"/>
      </w:pPr>
      <w:r>
        <w:rPr>
          <w:rFonts w:ascii="Arial" w:cs="Arial" w:eastAsia="Arial" w:hAnsi="Arial"/>
          <w:b w:val="false"/>
          <w:bCs w:val="false"/>
          <w:i w:val="false"/>
          <w:iCs w:val="false"/>
          <w:color w:val="000000"/>
          <w:sz w:val="21"/>
          <w:szCs w:val="21"/>
        </w:rPr>
        <w:t xml:space="preserve">Three coherent postures exist. They are not equally good, but each is internally consistent and each has a European proof point or a visible gap.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40"/>
        <w:gridCol w:w="2769"/>
        <w:gridCol w:w="2769"/>
        <w:gridCol w:w="2769"/>
      </w:tblGrid>
      <w:tr>
        <w:trPr>
          <w:tblHeader/>
        </w:trPr>
        <w:tc>
          <w:tcPr>
            <w:tcW w:type="dxa" w:w="1440"/>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
            </w:r>
          </w:p>
        </w:tc>
        <w:tc>
          <w:tcPr>
            <w:tcW w:type="dxa" w:w="2769"/>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P1: Cheapest EU instant-quote player</w:t>
            </w:r>
          </w:p>
        </w:tc>
        <w:tc>
          <w:tcPr>
            <w:tcW w:type="dxa" w:w="2769"/>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P2: Defense-grade EU-only supplier</w:t>
            </w:r>
          </w:p>
        </w:tc>
        <w:tc>
          <w:tcPr>
            <w:tcW w:type="dxa" w:w="2769"/>
            <w:shd w:fill="1F3864" w:val="clear"/>
            <w:tcMar>
              <w:top w:type="dxa" w:w="40"/>
              <w:left w:type="dxa" w:w="80"/>
              <w:bottom w:type="dxa" w:w="40"/>
              <w:right w:type="dxa" w:w="80"/>
            </w:tcMar>
          </w:tcPr>
          <w:p>
            <w:pPr>
              <w:spacing w:after="0"/>
            </w:pPr>
            <w:r>
              <w:rPr>
                <w:rFonts w:ascii="Arial" w:cs="Arial" w:eastAsia="Arial" w:hAnsi="Arial"/>
                <w:b/>
                <w:bCs/>
                <w:color w:val="FFFFFF"/>
                <w:sz w:val="17"/>
                <w:szCs w:val="17"/>
              </w:rPr>
              <w:t xml:space="preserve">P3: DACH-nearshore speed play</w:t>
            </w:r>
          </w:p>
        </w:tc>
      </w:tr>
      <w:tr>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Core promise</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 convenience at near-China prices; no login, EUR 10 minimum</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EU-origin, attested, quick-turn parts for defense and dual-use</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Parts in Germany D+1/D+2 at 10-20% under German prices</w:t>
            </w:r>
          </w:p>
        </w:tc>
      </w:tr>
      <w:tr>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Wedge process</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FDM farm + budget MJF</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MJF/SLS + CNC with documentation</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MJF-led, CNC in phase 2</w:t>
            </w:r>
          </w:p>
        </w:tc>
      </w:tr>
      <w:tr>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Pricing vs market</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Undercut Weerg by 10-20%</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Premium 20-40% over standard EU</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Match Weerg, undercut Xometry/Protolabs</w:t>
            </w:r>
          </w:p>
        </w:tc>
      </w:tr>
      <w:tr>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Gross margin potential</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25-35%</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50-60%</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40-50%</w:t>
            </w:r>
          </w:p>
        </w:tc>
      </w:tr>
      <w:tr>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EBITDA at EUR 3-5M scale</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10-20%</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25-40%</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25-35%</w:t>
            </w:r>
          </w:p>
        </w:tc>
      </w:tr>
      <w:tr>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CAPEX intensity</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Low (farm-led)</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Medium + certification opex</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Medium (MJF cell first)</w:t>
            </w:r>
          </w:p>
        </w:tc>
      </w:tr>
      <w:tr>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Main risk</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JLC3DP price floor, Bambu cannibalization, race to zero</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Slow sales cycles; startups insource at scale; concentration</w:t>
            </w:r>
          </w:p>
        </w:tc>
        <w:tc>
          <w:tcPr>
            <w:tcW w:type="dxa" w:w="2769"/>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Weerg already ships EU-wide in 1-2 days; Xometry entrenched in Munich</w:t>
            </w:r>
          </w:p>
        </w:tc>
      </w:tr>
      <w:tr>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Who it beats</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Craftcloud, Chinese on convenience</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Nobody serves this in CEE today</w:t>
            </w:r>
          </w:p>
        </w:tc>
        <w:tc>
          <w:tcPr>
            <w:tcW w:type="dxa" w:w="2769"/>
            <w:shd w:fill="F2F2F2" w:val="clear"/>
            <w:tcMar>
              <w:top w:type="dxa" w:w="40"/>
              <w:left w:type="dxa" w:w="80"/>
              <w:bottom w:type="dxa" w:w="40"/>
              <w:right w:type="dxa" w:w="80"/>
            </w:tcMar>
          </w:tcPr>
          <w:p>
            <w:pPr>
              <w:spacing w:after="0"/>
            </w:pPr>
            <w:r>
              <w:rPr>
                <w:rFonts w:ascii="Arial" w:cs="Arial" w:eastAsia="Arial" w:hAnsi="Arial"/>
                <w:b w:val="false"/>
                <w:bCs w:val="false"/>
                <w:color w:val="000000"/>
                <w:sz w:val="17"/>
                <w:szCs w:val="17"/>
              </w:rPr>
              <w:t xml:space="preserve">Protolabs on price, Xometry on control, Weerg on proximity and language</w:t>
            </w:r>
          </w:p>
        </w:tc>
      </w:tr>
    </w:tbl>
    <w:p>
      <w:pPr>
        <w:spacing w:after="80"/>
      </w:pPr>
    </w:p>
    <w:p>
      <w:pPr>
        <w:spacing w:after="120" w:line="264" w:lineRule="auto"/>
      </w:pPr>
      <w:r>
        <w:rPr>
          <w:rFonts w:ascii="Arial" w:cs="Arial" w:eastAsia="Arial" w:hAnsi="Arial"/>
          <w:b w:val="false"/>
          <w:bCs w:val="false"/>
          <w:i w:val="false"/>
          <w:iCs w:val="false"/>
          <w:color w:val="000000"/>
          <w:sz w:val="21"/>
          <w:szCs w:val="21"/>
        </w:rPr>
        <w:t xml:space="preserve">P1 alone is a trap. It fights JLC3DP's scale and Bambu's install base for the least defensible customers, and Shapeways already demonstrated how that ends [see 8.1]. P2 alone ramps too slowly for a seed-stage P&amp;L; certification and BD cycles push meaningful revenue into year 2-3. P3 is the strongest standalone posture but its speed advantage over Weerg is incremental (D+1 versus D+2), so it needs a second differentiator.</w:t>
      </w:r>
    </w:p>
    <w:p>
      <w:pPr>
        <w:spacing w:after="120" w:line="264" w:lineRule="auto"/>
      </w:pPr>
      <w:r>
        <w:rPr>
          <w:rFonts w:ascii="Arial" w:cs="Arial" w:eastAsia="Arial" w:hAnsi="Arial"/>
          <w:b/>
          <w:bCs/>
          <w:i w:val="false"/>
          <w:iCs w:val="false"/>
          <w:color w:val="000000"/>
          <w:sz w:val="21"/>
          <w:szCs w:val="21"/>
        </w:rPr>
        <w:t xml:space="preserve">Recommended posture: P3 as the operating model, P1's front end, P2 as the margin layer. </w:t>
      </w:r>
      <w:r>
        <w:rPr>
          <w:rFonts w:ascii="Arial" w:cs="Arial" w:eastAsia="Arial" w:hAnsi="Arial"/>
          <w:b w:val="false"/>
          <w:bCs w:val="false"/>
          <w:i w:val="false"/>
          <w:iCs w:val="false"/>
          <w:color w:val="000000"/>
          <w:sz w:val="21"/>
          <w:szCs w:val="21"/>
        </w:rPr>
        <w:t xml:space="preserve">Concretely: a Polish MJF-led plant with a no-login instant quote, a EUR 10-15 minimum order and honest shipping (P1's UX, without P1's suicidal pricing), positioned on D+1/D+2 DACH delivery and German-language service (P3), adding EU-only attestation, ISO 9001 from day one and an AQAP 2110 path from month 12 to capture defense prototyping at premium prices (P2). Phase CNC in months 12-24 as planned, prioritizing aluminum quick-turn for the same customers. The P&amp;L logic: P3 pays the bills at 40%+ gross margin, P1's UX keeps acquisition cost low and feeds the funnel, P2 lifts blended margin with 50-60% gross-margin work on the same machines.</w:t>
      </w:r>
    </w:p>
    <w:p>
      <w:r>
        <w:br w:type="page"/>
      </w:r>
    </w:p>
    <w:p>
      <w:pPr>
        <w:pStyle w:val="Heading1"/>
        <w:spacing w:after="160" w:before="280"/>
      </w:pPr>
      <w:r>
        <w:rPr>
          <w:rFonts w:ascii="Arial" w:cs="Arial" w:eastAsia="Arial" w:hAnsi="Arial"/>
          <w:b/>
          <w:bCs/>
          <w:color w:val="1F3864"/>
          <w:sz w:val="30"/>
          <w:szCs w:val="30"/>
        </w:rPr>
        <w:t xml:space="preserve">8.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40"/>
        <w:gridCol w:w="3987"/>
        <w:gridCol w:w="1440"/>
        <w:gridCol w:w="2880"/>
      </w:tblGrid>
      <w:tr>
        <w:trPr>
          <w:tblHeader/>
        </w:trPr>
        <w:tc>
          <w:tcPr>
            <w:tcW w:type="dxa" w:w="1440"/>
            <w:shd w:fill="1F3864" w:val="clear"/>
            <w:tcMar>
              <w:top w:type="dxa" w:w="40"/>
              <w:left w:type="dxa" w:w="80"/>
              <w:bottom w:type="dxa" w:w="40"/>
              <w:right w:type="dxa" w:w="80"/>
            </w:tcMar>
          </w:tcPr>
          <w:p>
            <w:pPr>
              <w:spacing w:after="0"/>
            </w:pPr>
            <w:r>
              <w:rPr>
                <w:rFonts w:ascii="Arial" w:cs="Arial" w:eastAsia="Arial" w:hAnsi="Arial"/>
                <w:b/>
                <w:bCs/>
                <w:color w:val="FFFFFF"/>
                <w:sz w:val="15"/>
                <w:szCs w:val="15"/>
              </w:rPr>
              <w:t xml:space="preserve">Risk</w:t>
            </w:r>
          </w:p>
        </w:tc>
        <w:tc>
          <w:tcPr>
            <w:tcW w:type="dxa" w:w="3987"/>
            <w:shd w:fill="1F3864" w:val="clear"/>
            <w:tcMar>
              <w:top w:type="dxa" w:w="40"/>
              <w:left w:type="dxa" w:w="80"/>
              <w:bottom w:type="dxa" w:w="40"/>
              <w:right w:type="dxa" w:w="80"/>
            </w:tcMar>
          </w:tcPr>
          <w:p>
            <w:pPr>
              <w:spacing w:after="0"/>
            </w:pPr>
            <w:r>
              <w:rPr>
                <w:rFonts w:ascii="Arial" w:cs="Arial" w:eastAsia="Arial" w:hAnsi="Arial"/>
                <w:b/>
                <w:bCs/>
                <w:color w:val="FFFFFF"/>
                <w:sz w:val="15"/>
                <w:szCs w:val="15"/>
              </w:rPr>
              <w:t xml:space="preserve">Evidence and scenario</w:t>
            </w:r>
          </w:p>
        </w:tc>
        <w:tc>
          <w:tcPr>
            <w:tcW w:type="dxa" w:w="1440"/>
            <w:shd w:fill="1F3864" w:val="clear"/>
            <w:tcMar>
              <w:top w:type="dxa" w:w="40"/>
              <w:left w:type="dxa" w:w="80"/>
              <w:bottom w:type="dxa" w:w="40"/>
              <w:right w:type="dxa" w:w="80"/>
            </w:tcMar>
          </w:tcPr>
          <w:p>
            <w:pPr>
              <w:spacing w:after="0"/>
            </w:pPr>
            <w:r>
              <w:rPr>
                <w:rFonts w:ascii="Arial" w:cs="Arial" w:eastAsia="Arial" w:hAnsi="Arial"/>
                <w:b/>
                <w:bCs/>
                <w:color w:val="FFFFFF"/>
                <w:sz w:val="15"/>
                <w:szCs w:val="15"/>
              </w:rPr>
              <w:t xml:space="preserve">Likelihood</w:t>
            </w:r>
          </w:p>
        </w:tc>
        <w:tc>
          <w:tcPr>
            <w:tcW w:type="dxa" w:w="2880"/>
            <w:shd w:fill="1F3864" w:val="clear"/>
            <w:tcMar>
              <w:top w:type="dxa" w:w="40"/>
              <w:left w:type="dxa" w:w="80"/>
              <w:bottom w:type="dxa" w:w="40"/>
              <w:right w:type="dxa" w:w="80"/>
            </w:tcMar>
          </w:tcPr>
          <w:p>
            <w:pPr>
              <w:spacing w:after="0"/>
            </w:pPr>
            <w:r>
              <w:rPr>
                <w:rFonts w:ascii="Arial" w:cs="Arial" w:eastAsia="Arial" w:hAnsi="Arial"/>
                <w:b/>
                <w:bCs/>
                <w:color w:val="FFFFFF"/>
                <w:sz w:val="15"/>
                <w:szCs w:val="15"/>
              </w:rPr>
              <w:t xml:space="preserve">Mitigation</w:t>
            </w:r>
          </w:p>
        </w:tc>
      </w:tr>
      <w:tr>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Price war at the bottom</w:t>
            </w:r>
          </w:p>
        </w:tc>
        <w:tc>
          <w:tcPr>
            <w:tcW w:type="dxa" w:w="3987"/>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AMPOWER documents falling instant-quote prices; JLC3DP sells from USD 0.30; Shapeways died running commodity pricing with heavy assets [14][33]. Scenario: EU platforms match Chinese pricing on simple parts and burn the segment's margin.</w:t>
            </w:r>
          </w:p>
        </w:tc>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High and permanent in commodity FDM/resin</w:t>
            </w:r>
          </w:p>
        </w:tc>
        <w:tc>
          <w:tcPr>
            <w:tcW w:type="dxa" w:w="288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Do not build the P&amp;L on commodity FDM. Weight MJF/SLS, finishing, CNC, compliance work. Keep FDM farm CAPEX under EUR 200k so it can be repurposed or written off.</w:t>
            </w:r>
          </w:p>
        </w:tc>
      </w:tr>
      <w:tr>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Bambu effect</w:t>
            </w:r>
          </w:p>
        </w:tc>
        <w:tc>
          <w:tcPr>
            <w:tcW w:type="dxa" w:w="398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~2.7M printers/yr, 37% of sub-USD-2,500 units, H2D pushes desktop capability upward [19]. Simple one-off FDM orders migrate in-house.</w:t>
            </w:r>
          </w:p>
        </w:tc>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High, already happening</w:t>
            </w:r>
          </w:p>
        </w:tc>
        <w:tc>
          <w:tcPr>
            <w:tcW w:type="dxa" w:w="288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Same as above: sell what desktops cannot make (PA12, MJF surface quality, metals, finishing, certification, volume batches). Print farms of desktop machines also deflate service pricing; monitor quarterly.</w:t>
            </w:r>
          </w:p>
        </w:tc>
      </w:tr>
      <w:tr>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Weerg consolidation</w:t>
            </w:r>
          </w:p>
        </w:tc>
        <w:tc>
          <w:tcPr>
            <w:tcW w:type="dxa" w:w="3987"/>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Founder states sale intent publicly (Feb 2026) [1]. MISUMI paid USD 350M for Fictiv (2025) [29]; Prototal is rolling up EU bureaus; Xometry raised USD 250M partly for M&amp;A. Scenario: a strategic buys Weerg and scales it with real capital into CEE.</w:t>
            </w:r>
          </w:p>
        </w:tc>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Medium over 24 months</w:t>
            </w:r>
          </w:p>
        </w:tc>
        <w:tc>
          <w:tcPr>
            <w:tcW w:type="dxa" w:w="288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Move fast in the defense/attestation niche a Weerg acquirer would take quarters to enter. Track the process; a sale at a strong multiple also validates the venture's exit path.</w:t>
            </w:r>
          </w:p>
        </w:tc>
      </w:tr>
      <w:tr>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Incumbents add CEE capacity</w:t>
            </w:r>
          </w:p>
        </w:tc>
        <w:tc>
          <w:tcPr>
            <w:tcW w:type="dxa" w:w="398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None announced as of July 2026; Xometry harvests CEE shops asset-light; Kreatize keeps a Wroclaw hub.</w:t>
            </w:r>
          </w:p>
        </w:tc>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Low-medium near term</w:t>
            </w:r>
          </w:p>
        </w:tc>
        <w:tc>
          <w:tcPr>
            <w:tcW w:type="dxa" w:w="288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The window is now. Lock local defense-startup relationships and Polish-language brand before anyone lands.</w:t>
            </w:r>
          </w:p>
        </w:tc>
      </w:tr>
      <w:tr>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EU industrial demand stays weak</w:t>
            </w:r>
          </w:p>
        </w:tc>
        <w:tc>
          <w:tcPr>
            <w:tcW w:type="dxa" w:w="3987"/>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Protolabs Europe -7% cc; CECIMO -3.6% 2025 [3][17]. Platform growth is share shift.</w:t>
            </w:r>
          </w:p>
        </w:tc>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Medium</w:t>
            </w:r>
          </w:p>
        </w:tc>
        <w:tc>
          <w:tcPr>
            <w:tcW w:type="dxa" w:w="288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The venture's growth comes from share shift too (from China, from RFQ shops). Defense spending is counter-cyclical to the industrial softness.</w:t>
            </w:r>
          </w:p>
        </w:tc>
      </w:tr>
      <w:tr>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Regulatory timing slips</w:t>
            </w:r>
          </w:p>
        </w:tc>
        <w:tc>
          <w:tcPr>
            <w:tcW w:type="dxa" w:w="3987"/>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The EUR 3 duty is in force, but the 2028 full-tariff regime depends on the customs data hub; Chinese DDP absorbs part of the friction already [20][33].</w:t>
            </w:r>
          </w:p>
        </w:tc>
        <w:tc>
          <w:tcPr>
            <w:tcW w:type="dxa" w:w="144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Medium</w:t>
            </w:r>
          </w:p>
        </w:tc>
        <w:tc>
          <w:tcPr>
            <w:tcW w:type="dxa" w:w="2880"/>
            <w:shd w:fill="F2F2F2" w:val="clear"/>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Treat customs friction as a bonus, not the thesis. The lead-time moat does not depend on Brussels.</w:t>
            </w:r>
          </w:p>
        </w:tc>
      </w:tr>
      <w:tr>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Execution: utilization ramp</w:t>
            </w:r>
          </w:p>
        </w:tc>
        <w:tc>
          <w:tcPr>
            <w:tcW w:type="dxa" w:w="3987"/>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Both models go underwater at low utilization (Scenario B loses money at 3 builds/week).</w:t>
            </w:r>
          </w:p>
        </w:tc>
        <w:tc>
          <w:tcPr>
            <w:tcW w:type="dxa" w:w="144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The main self-inflicted risk</w:t>
            </w:r>
          </w:p>
        </w:tc>
        <w:tc>
          <w:tcPr>
            <w:tcW w:type="dxa" w:w="2880"/>
            <w:tcMar>
              <w:top w:type="dxa" w:w="40"/>
              <w:left w:type="dxa" w:w="80"/>
              <w:bottom w:type="dxa" w:w="40"/>
              <w:right w:type="dxa" w:w="80"/>
            </w:tcMar>
          </w:tcPr>
          <w:p>
            <w:pPr>
              <w:spacing w:after="0"/>
            </w:pPr>
            <w:r>
              <w:rPr>
                <w:rFonts w:ascii="Arial" w:cs="Arial" w:eastAsia="Arial" w:hAnsi="Arial"/>
                <w:b w:val="false"/>
                <w:bCs w:val="false"/>
                <w:color w:val="000000"/>
                <w:sz w:val="15"/>
                <w:szCs w:val="15"/>
              </w:rPr>
              <w:t xml:space="preserve">Pilot with a Fuse-class SLS cell and a small farm; buy the HP cell when the order book supports 5+ builds/week; keep the fleet uniform.</w:t>
            </w:r>
          </w:p>
        </w:tc>
      </w:tr>
    </w:tbl>
    <w:p>
      <w:r>
        <w:br w:type="page"/>
      </w:r>
    </w:p>
    <w:p>
      <w:pPr>
        <w:pStyle w:val="Heading1"/>
        <w:spacing w:after="160" w:before="280"/>
      </w:pPr>
      <w:r>
        <w:rPr>
          <w:rFonts w:ascii="Arial" w:cs="Arial" w:eastAsia="Arial" w:hAnsi="Arial"/>
          <w:b/>
          <w:bCs/>
          <w:color w:val="1F3864"/>
          <w:sz w:val="30"/>
          <w:szCs w:val="30"/>
        </w:rPr>
        <w:t xml:space="preserve">9. Method, data quality and sources</w:t>
      </w:r>
    </w:p>
    <w:p>
      <w:pPr>
        <w:spacing w:after="120" w:line="264" w:lineRule="auto"/>
      </w:pPr>
      <w:r>
        <w:rPr>
          <w:rFonts w:ascii="Arial" w:cs="Arial" w:eastAsia="Arial" w:hAnsi="Arial"/>
          <w:b w:val="false"/>
          <w:bCs w:val="false"/>
          <w:i w:val="false"/>
          <w:iCs w:val="false"/>
          <w:color w:val="000000"/>
          <w:sz w:val="21"/>
          <w:szCs w:val="21"/>
        </w:rPr>
        <w:t xml:space="preserve">Method. Six parallel research tracks (competitors, marketplaces, Chinese providers and customs, market sizing, pricing, demand and risks) ran against primary sources where they exist: SEC filings, the Italian company registry, German registry data via North Data, Eurostat SBS, Council and Commission legal texts, and company statements. Key anchor figures (Weerg financials, the EUR 3 duty, Wohlers 2026, HP and Formlabs hardware pricing) were then re-verified independently. Every quantitative claim carries a numbered source. Facts, estimates and assumptions are labeled as such throughout; data older than January 2025 is flagged [STALE]. Where public data is missing, figures are triangulated from headcount, fleet size, review volume or registry filings, and the workbook shows the reasoning cell by cell.</w:t>
      </w:r>
    </w:p>
    <w:p>
      <w:pPr>
        <w:spacing w:after="120" w:line="264" w:lineRule="auto"/>
      </w:pPr>
      <w:r>
        <w:rPr>
          <w:rFonts w:ascii="Arial" w:cs="Arial" w:eastAsia="Arial" w:hAnsi="Arial"/>
          <w:b w:val="false"/>
          <w:bCs w:val="false"/>
          <w:i w:val="false"/>
          <w:iCs w:val="false"/>
          <w:color w:val="000000"/>
          <w:sz w:val="21"/>
          <w:szCs w:val="21"/>
        </w:rPr>
        <w:t xml:space="preserve">Known gaps, stated openly: private marketplace revenues (German small-company exemptions), Laserhub actuals versus its old EUR 100M projection, the EU prosumer-to-China order flow (unmeasured anywhere), JLCPCB group financials (web-analytics estimates only), and live quotes for the three reference parts (published data and third-party same-STL tests were used instead). None of these gaps changes the direction of the conclusions; the prosumer volume gap changes how much to invest in the FDM farm, which is why it gates that CAPEX.</w:t>
      </w:r>
    </w:p>
    <w:p>
      <w:pPr>
        <w:pStyle w:val="Heading2"/>
        <w:spacing w:after="120" w:before="220"/>
      </w:pPr>
      <w:r>
        <w:rPr>
          <w:rFonts w:ascii="Arial" w:cs="Arial" w:eastAsia="Arial" w:hAnsi="Arial"/>
          <w:b/>
          <w:bCs/>
          <w:color w:val="1F3864"/>
          <w:sz w:val="24"/>
          <w:szCs w:val="24"/>
        </w:rPr>
        <w:t xml:space="preserve">Sources</w:t>
      </w:r>
    </w:p>
    <w:p>
      <w:pPr>
        <w:spacing w:after="40" w:line="264" w:lineRule="auto"/>
      </w:pPr>
      <w:r>
        <w:rPr>
          <w:rFonts w:ascii="Arial" w:cs="Arial" w:eastAsia="Arial" w:hAnsi="Arial"/>
          <w:b w:val="false"/>
          <w:bCs w:val="false"/>
          <w:i w:val="false"/>
          <w:iCs w:val="false"/>
          <w:color w:val="000000"/>
          <w:sz w:val="15"/>
          <w:szCs w:val="15"/>
        </w:rPr>
        <w:t xml:space="preserve">[1] Industria Italiana, Weerg profile and Rigamonti interview, 19 Feb 2026. industriaitaliana.it/weerg-stampa-3d-cnc/</w:t>
      </w:r>
    </w:p>
    <w:p>
      <w:pPr>
        <w:spacing w:after="40" w:line="264" w:lineRule="auto"/>
      </w:pPr>
      <w:r>
        <w:rPr>
          <w:rFonts w:ascii="Arial" w:cs="Arial" w:eastAsia="Arial" w:hAnsi="Arial"/>
          <w:b w:val="false"/>
          <w:bCs w:val="false"/>
          <w:i w:val="false"/>
          <w:iCs w:val="false"/>
          <w:color w:val="000000"/>
          <w:sz w:val="15"/>
          <w:szCs w:val="15"/>
        </w:rPr>
        <w:t xml:space="preserve">[2] Italian registry data for Weerg Srl (VE 04202870277), FY2024 accounts via reportaziende.it / ufficiocamerale.it</w:t>
      </w:r>
    </w:p>
    <w:p>
      <w:pPr>
        <w:spacing w:after="40" w:line="264" w:lineRule="auto"/>
      </w:pPr>
      <w:r>
        <w:rPr>
          <w:rFonts w:ascii="Arial" w:cs="Arial" w:eastAsia="Arial" w:hAnsi="Arial"/>
          <w:b w:val="false"/>
          <w:bCs w:val="false"/>
          <w:i w:val="false"/>
          <w:iCs w:val="false"/>
          <w:color w:val="000000"/>
          <w:sz w:val="15"/>
          <w:szCs w:val="15"/>
        </w:rPr>
        <w:t xml:space="preserve">[3] Protolabs Q4/FY2025 earnings release, 6 Feb 2026 (Businesswire) and 10-K FY2025 (SEC EDGAR, prlb-20251231)</w:t>
      </w:r>
    </w:p>
    <w:p>
      <w:pPr>
        <w:spacing w:after="40" w:line="264" w:lineRule="auto"/>
      </w:pPr>
      <w:r>
        <w:rPr>
          <w:rFonts w:ascii="Arial" w:cs="Arial" w:eastAsia="Arial" w:hAnsi="Arial"/>
          <w:b w:val="false"/>
          <w:bCs w:val="false"/>
          <w:i w:val="false"/>
          <w:iCs w:val="false"/>
          <w:color w:val="000000"/>
          <w:sz w:val="15"/>
          <w:szCs w:val="15"/>
        </w:rPr>
        <w:t xml:space="preserve">[4] Protolabs Q1 2026 earnings release, 1 May 2026 (Businesswire)</w:t>
      </w:r>
    </w:p>
    <w:p>
      <w:pPr>
        <w:spacing w:after="40" w:line="264" w:lineRule="auto"/>
      </w:pPr>
      <w:r>
        <w:rPr>
          <w:rFonts w:ascii="Arial" w:cs="Arial" w:eastAsia="Arial" w:hAnsi="Arial"/>
          <w:b w:val="false"/>
          <w:bCs w:val="false"/>
          <w:i w:val="false"/>
          <w:iCs w:val="false"/>
          <w:color w:val="000000"/>
          <w:sz w:val="15"/>
          <w:szCs w:val="15"/>
        </w:rPr>
        <w:t xml:space="preserve">[5] Xometry Q4/FY2025 release, 24 Feb 2026 (investors.xometry.com) and 10-K FY2025 (SEC EDGAR). [5n] xometry.eu terms and conditions, accessed Jul 2026</w:t>
      </w:r>
    </w:p>
    <w:p>
      <w:pPr>
        <w:spacing w:after="40" w:line="264" w:lineRule="auto"/>
      </w:pPr>
      <w:r>
        <w:rPr>
          <w:rFonts w:ascii="Arial" w:cs="Arial" w:eastAsia="Arial" w:hAnsi="Arial"/>
          <w:b w:val="false"/>
          <w:bCs w:val="false"/>
          <w:i w:val="false"/>
          <w:iCs w:val="false"/>
          <w:color w:val="000000"/>
          <w:sz w:val="15"/>
          <w:szCs w:val="15"/>
        </w:rPr>
        <w:t xml:space="preserve">[6] Materialise Q4/FY2025 results, Feb 2026 (investors.materialise.com)</w:t>
      </w:r>
    </w:p>
    <w:p>
      <w:pPr>
        <w:spacing w:after="40" w:line="264" w:lineRule="auto"/>
      </w:pPr>
      <w:r>
        <w:rPr>
          <w:rFonts w:ascii="Arial" w:cs="Arial" w:eastAsia="Arial" w:hAnsi="Arial"/>
          <w:b w:val="false"/>
          <w:bCs w:val="false"/>
          <w:i w:val="false"/>
          <w:iCs w:val="false"/>
          <w:color w:val="000000"/>
          <w:sz w:val="15"/>
          <w:szCs w:val="15"/>
        </w:rPr>
        <w:t xml:space="preserve">[7] Fabbaloo and VoxelMatters, i.materialise closure and merge into OnSite, Oct-Nov 2025</w:t>
      </w:r>
    </w:p>
    <w:p>
      <w:pPr>
        <w:spacing w:after="40" w:line="264" w:lineRule="auto"/>
      </w:pPr>
      <w:r>
        <w:rPr>
          <w:rFonts w:ascii="Arial" w:cs="Arial" w:eastAsia="Arial" w:hAnsi="Arial"/>
          <w:b w:val="false"/>
          <w:bCs w:val="false"/>
          <w:i w:val="false"/>
          <w:iCs w:val="false"/>
          <w:color w:val="000000"/>
          <w:sz w:val="15"/>
          <w:szCs w:val="15"/>
        </w:rPr>
        <w:t xml:space="preserve">[8] TCT Magazine, Manuevo BV acquires Shapeways assets, Dec 2024; shapeways.com press corner</w:t>
      </w:r>
    </w:p>
    <w:p>
      <w:pPr>
        <w:spacing w:after="40" w:line="264" w:lineRule="auto"/>
      </w:pPr>
      <w:r>
        <w:rPr>
          <w:rFonts w:ascii="Arial" w:cs="Arial" w:eastAsia="Arial" w:hAnsi="Arial"/>
          <w:b w:val="false"/>
          <w:bCs w:val="false"/>
          <w:i w:val="false"/>
          <w:iCs w:val="false"/>
          <w:color w:val="000000"/>
          <w:sz w:val="15"/>
          <w:szCs w:val="15"/>
        </w:rPr>
        <w:t xml:space="preserve">[9] ManufacturingTomorrow / TCT, Sculpteo joins 3D Prod group, 7 May 2026</w:t>
      </w:r>
    </w:p>
    <w:p>
      <w:pPr>
        <w:spacing w:after="40" w:line="264" w:lineRule="auto"/>
      </w:pPr>
      <w:r>
        <w:rPr>
          <w:rFonts w:ascii="Arial" w:cs="Arial" w:eastAsia="Arial" w:hAnsi="Arial"/>
          <w:b w:val="false"/>
          <w:bCs w:val="false"/>
          <w:i w:val="false"/>
          <w:iCs w:val="false"/>
          <w:color w:val="000000"/>
          <w:sz w:val="15"/>
          <w:szCs w:val="15"/>
        </w:rPr>
        <w:t xml:space="preserve">[10] Munich Startup and HTGF releases on All3DP/Craftcloud growth round, 1 Oct 2024 [STALE]</w:t>
      </w:r>
    </w:p>
    <w:p>
      <w:pPr>
        <w:spacing w:after="40" w:line="264" w:lineRule="auto"/>
      </w:pPr>
      <w:r>
        <w:rPr>
          <w:rFonts w:ascii="Arial" w:cs="Arial" w:eastAsia="Arial" w:hAnsi="Arial"/>
          <w:b w:val="false"/>
          <w:bCs w:val="false"/>
          <w:i w:val="false"/>
          <w:iCs w:val="false"/>
          <w:color w:val="000000"/>
          <w:sz w:val="15"/>
          <w:szCs w:val="15"/>
        </w:rPr>
        <w:t xml:space="preserve">[11] Northern Nevada Business Weekly, SendCutSend passes USD 100M, 28 Jan 2026</w:t>
      </w:r>
    </w:p>
    <w:p>
      <w:pPr>
        <w:spacing w:after="40" w:line="264" w:lineRule="auto"/>
      </w:pPr>
      <w:r>
        <w:rPr>
          <w:rFonts w:ascii="Arial" w:cs="Arial" w:eastAsia="Arial" w:hAnsi="Arial"/>
          <w:b w:val="false"/>
          <w:bCs w:val="false"/>
          <w:i w:val="false"/>
          <w:iCs w:val="false"/>
          <w:color w:val="000000"/>
          <w:sz w:val="15"/>
          <w:szCs w:val="15"/>
        </w:rPr>
        <w:t xml:space="preserve">[12] TBPN / IEN, SendCutSend USD 110M round at ~USD 1.01B, 19 May 2026; sendcutsend.com blog</w:t>
      </w:r>
    </w:p>
    <w:p>
      <w:pPr>
        <w:spacing w:after="40" w:line="264" w:lineRule="auto"/>
      </w:pPr>
      <w:r>
        <w:rPr>
          <w:rFonts w:ascii="Arial" w:cs="Arial" w:eastAsia="Arial" w:hAnsi="Arial"/>
          <w:b w:val="false"/>
          <w:bCs w:val="false"/>
          <w:i w:val="false"/>
          <w:iCs w:val="false"/>
          <w:color w:val="000000"/>
          <w:sz w:val="15"/>
          <w:szCs w:val="15"/>
        </w:rPr>
        <w:t xml:space="preserve">[13] Wohlers Report 2026 press release, ASTM, 17 Feb 2026; 3Dnatives regional-growth coverage</w:t>
      </w:r>
    </w:p>
    <w:p>
      <w:pPr>
        <w:spacing w:after="40" w:line="264" w:lineRule="auto"/>
      </w:pPr>
      <w:r>
        <w:rPr>
          <w:rFonts w:ascii="Arial" w:cs="Arial" w:eastAsia="Arial" w:hAnsi="Arial"/>
          <w:b w:val="false"/>
          <w:bCs w:val="false"/>
          <w:i w:val="false"/>
          <w:iCs w:val="false"/>
          <w:color w:val="000000"/>
          <w:sz w:val="15"/>
          <w:szCs w:val="15"/>
        </w:rPr>
        <w:t xml:space="preserve">[14] AMPOWER Report 2026 management summary and TCT coverage, 25 Mar 2026</w:t>
      </w:r>
    </w:p>
    <w:p>
      <w:pPr>
        <w:spacing w:after="40" w:line="264" w:lineRule="auto"/>
      </w:pPr>
      <w:r>
        <w:rPr>
          <w:rFonts w:ascii="Arial" w:cs="Arial" w:eastAsia="Arial" w:hAnsi="Arial"/>
          <w:b w:val="false"/>
          <w:bCs w:val="false"/>
          <w:i w:val="false"/>
          <w:iCs w:val="false"/>
          <w:color w:val="000000"/>
          <w:sz w:val="15"/>
          <w:szCs w:val="15"/>
        </w:rPr>
        <w:t xml:space="preserve">[15] Eurostat SBS_OVW_ACT (NACE 25.62), dataset updated 10 Mar 2026 (2023 values). [15n] b2bpoland.com directory estimate, low reliability</w:t>
      </w:r>
    </w:p>
    <w:p>
      <w:pPr>
        <w:spacing w:after="40" w:line="264" w:lineRule="auto"/>
      </w:pPr>
      <w:r>
        <w:rPr>
          <w:rFonts w:ascii="Arial" w:cs="Arial" w:eastAsia="Arial" w:hAnsi="Arial"/>
          <w:b w:val="false"/>
          <w:bCs w:val="false"/>
          <w:i w:val="false"/>
          <w:iCs w:val="false"/>
          <w:color w:val="000000"/>
          <w:sz w:val="15"/>
          <w:szCs w:val="15"/>
        </w:rPr>
        <w:t xml:space="preserve">[16] Eurostat lc_lci_lev / Destatis, hourly labour costs 2025, published Mar-Apr 2026</w:t>
      </w:r>
    </w:p>
    <w:p>
      <w:pPr>
        <w:spacing w:after="40" w:line="264" w:lineRule="auto"/>
      </w:pPr>
      <w:r>
        <w:rPr>
          <w:rFonts w:ascii="Arial" w:cs="Arial" w:eastAsia="Arial" w:hAnsi="Arial"/>
          <w:b w:val="false"/>
          <w:bCs w:val="false"/>
          <w:i w:val="false"/>
          <w:iCs w:val="false"/>
          <w:color w:val="000000"/>
          <w:sz w:val="15"/>
          <w:szCs w:val="15"/>
        </w:rPr>
        <w:t xml:space="preserve">[17] CECIMO machine-tool outlook, Feb 2026</w:t>
      </w:r>
    </w:p>
    <w:p>
      <w:pPr>
        <w:spacing w:after="40" w:line="264" w:lineRule="auto"/>
      </w:pPr>
      <w:r>
        <w:rPr>
          <w:rFonts w:ascii="Arial" w:cs="Arial" w:eastAsia="Arial" w:hAnsi="Arial"/>
          <w:b w:val="false"/>
          <w:bCs w:val="false"/>
          <w:i w:val="false"/>
          <w:iCs w:val="false"/>
          <w:color w:val="000000"/>
          <w:sz w:val="15"/>
          <w:szCs w:val="15"/>
        </w:rPr>
        <w:t xml:space="preserve">[18] CONTEXT quarterly 3D printer shipments, Q4 2025 report (Mar 2026); TCT Jun 2025</w:t>
      </w:r>
    </w:p>
    <w:p>
      <w:pPr>
        <w:spacing w:after="40" w:line="264" w:lineRule="auto"/>
      </w:pPr>
      <w:r>
        <w:rPr>
          <w:rFonts w:ascii="Arial" w:cs="Arial" w:eastAsia="Arial" w:hAnsi="Arial"/>
          <w:b w:val="false"/>
          <w:bCs w:val="false"/>
          <w:i w:val="false"/>
          <w:iCs w:val="false"/>
          <w:color w:val="000000"/>
          <w:sz w:val="15"/>
          <w:szCs w:val="15"/>
        </w:rPr>
        <w:t xml:space="preserve">[19] KrAsia (Bambu RMB 10B revenue, Jan 2026); Tom's Hardware and 3DPrint.com unit/share estimates, Jan-Feb 2026</w:t>
      </w:r>
    </w:p>
    <w:p>
      <w:pPr>
        <w:spacing w:after="40" w:line="264" w:lineRule="auto"/>
      </w:pPr>
      <w:r>
        <w:rPr>
          <w:rFonts w:ascii="Arial" w:cs="Arial" w:eastAsia="Arial" w:hAnsi="Arial"/>
          <w:b w:val="false"/>
          <w:bCs w:val="false"/>
          <w:i w:val="false"/>
          <w:iCs w:val="false"/>
          <w:color w:val="000000"/>
          <w:sz w:val="15"/>
          <w:szCs w:val="15"/>
        </w:rPr>
        <w:t xml:space="preserve">[20] Council of the EU press releases: 13 Nov 2025 (de minimis removal), 12 Dec 2025 (EUR 3 duty from 1 Jul 2026)</w:t>
      </w:r>
    </w:p>
    <w:p>
      <w:pPr>
        <w:spacing w:after="40" w:line="264" w:lineRule="auto"/>
      </w:pPr>
      <w:r>
        <w:rPr>
          <w:rFonts w:ascii="Arial" w:cs="Arial" w:eastAsia="Arial" w:hAnsi="Arial"/>
          <w:b w:val="false"/>
          <w:bCs w:val="false"/>
          <w:i w:val="false"/>
          <w:iCs w:val="false"/>
          <w:color w:val="000000"/>
          <w:sz w:val="15"/>
          <w:szCs w:val="15"/>
        </w:rPr>
        <w:t xml:space="preserve">[21] Council final approval, 11 Feb 2026; European Commission news, 29 Jun 2026; vatcalc.com; simplyvat.com (national parcel fees)</w:t>
      </w:r>
    </w:p>
    <w:p>
      <w:pPr>
        <w:spacing w:after="40" w:line="264" w:lineRule="auto"/>
      </w:pPr>
      <w:r>
        <w:rPr>
          <w:rFonts w:ascii="Arial" w:cs="Arial" w:eastAsia="Arial" w:hAnsi="Arial"/>
          <w:b w:val="false"/>
          <w:bCs w:val="false"/>
          <w:i w:val="false"/>
          <w:iCs w:val="false"/>
          <w:color w:val="000000"/>
          <w:sz w:val="15"/>
          <w:szCs w:val="15"/>
        </w:rPr>
        <w:t xml:space="preserve">[22] Council of the EU, EDIP final approval, 8 Dec 2025</w:t>
      </w:r>
    </w:p>
    <w:p>
      <w:pPr>
        <w:spacing w:after="40" w:line="264" w:lineRule="auto"/>
      </w:pPr>
      <w:r>
        <w:rPr>
          <w:rFonts w:ascii="Arial" w:cs="Arial" w:eastAsia="Arial" w:hAnsi="Arial"/>
          <w:b w:val="false"/>
          <w:bCs w:val="false"/>
          <w:i w:val="false"/>
          <w:iCs w:val="false"/>
          <w:color w:val="000000"/>
          <w:sz w:val="15"/>
          <w:szCs w:val="15"/>
        </w:rPr>
        <w:t xml:space="preserve">[23] European Commission (DEFIS), EDIP EUR 1.5B work programme, 30 Mar 2026</w:t>
      </w:r>
    </w:p>
    <w:p>
      <w:pPr>
        <w:spacing w:after="40" w:line="264" w:lineRule="auto"/>
      </w:pPr>
      <w:r>
        <w:rPr>
          <w:rFonts w:ascii="Arial" w:cs="Arial" w:eastAsia="Arial" w:hAnsi="Arial"/>
          <w:b w:val="false"/>
          <w:bCs w:val="false"/>
          <w:i w:val="false"/>
          <w:iCs w:val="false"/>
          <w:color w:val="000000"/>
          <w:sz w:val="15"/>
          <w:szCs w:val="15"/>
        </w:rPr>
        <w:t xml:space="preserve">[24] CMS Global Radar 2026, EDIP 35% rule and design authority; PwC CEE EDIP guide</w:t>
      </w:r>
    </w:p>
    <w:p>
      <w:pPr>
        <w:spacing w:after="40" w:line="264" w:lineRule="auto"/>
      </w:pPr>
      <w:r>
        <w:rPr>
          <w:rFonts w:ascii="Arial" w:cs="Arial" w:eastAsia="Arial" w:hAnsi="Arial"/>
          <w:b w:val="false"/>
          <w:bCs w:val="false"/>
          <w:i w:val="false"/>
          <w:iCs w:val="false"/>
          <w:color w:val="000000"/>
          <w:sz w:val="15"/>
          <w:szCs w:val="15"/>
        </w:rPr>
        <w:t xml:space="preserve">[25] Council of the EU, SAFE adoption 27 May 2025; euperspectives.eu and defencejobs.org, disbursement waves Jan-Feb 2026</w:t>
      </w:r>
    </w:p>
    <w:p>
      <w:pPr>
        <w:spacing w:after="40" w:line="264" w:lineRule="auto"/>
      </w:pPr>
      <w:r>
        <w:rPr>
          <w:rFonts w:ascii="Arial" w:cs="Arial" w:eastAsia="Arial" w:hAnsi="Arial"/>
          <w:b w:val="false"/>
          <w:bCs w:val="false"/>
          <w:i w:val="false"/>
          <w:iCs w:val="false"/>
          <w:color w:val="000000"/>
          <w:sz w:val="15"/>
          <w:szCs w:val="15"/>
        </w:rPr>
        <w:t xml:space="preserve">[26] Notes from Poland, 29 Aug 2025; PAP (EUR 46.8B, 4.8% GDP)</w:t>
      </w:r>
    </w:p>
    <w:p>
      <w:pPr>
        <w:spacing w:after="40" w:line="264" w:lineRule="auto"/>
      </w:pPr>
      <w:r>
        <w:rPr>
          <w:rFonts w:ascii="Arial" w:cs="Arial" w:eastAsia="Arial" w:hAnsi="Arial"/>
          <w:b w:val="false"/>
          <w:bCs w:val="false"/>
          <w:i w:val="false"/>
          <w:iCs w:val="false"/>
          <w:color w:val="000000"/>
          <w:sz w:val="15"/>
          <w:szCs w:val="15"/>
        </w:rPr>
        <w:t xml:space="preserve">[27] Defense News, Tytan Technologies factory plans, 26 Jun 2026</w:t>
      </w:r>
    </w:p>
    <w:p>
      <w:pPr>
        <w:spacing w:after="40" w:line="264" w:lineRule="auto"/>
      </w:pPr>
      <w:r>
        <w:rPr>
          <w:rFonts w:ascii="Arial" w:cs="Arial" w:eastAsia="Arial" w:hAnsi="Arial"/>
          <w:b w:val="false"/>
          <w:bCs w:val="false"/>
          <w:i w:val="false"/>
          <w:iCs w:val="false"/>
          <w:color w:val="000000"/>
          <w:sz w:val="15"/>
          <w:szCs w:val="15"/>
        </w:rPr>
        <w:t xml:space="preserve">[28] TVP World / Warsight, WB Group ~EUR 2.75B unmanned contract, Jun 2026</w:t>
      </w:r>
    </w:p>
    <w:p>
      <w:pPr>
        <w:spacing w:after="40" w:line="264" w:lineRule="auto"/>
      </w:pPr>
      <w:r>
        <w:rPr>
          <w:rFonts w:ascii="Arial" w:cs="Arial" w:eastAsia="Arial" w:hAnsi="Arial"/>
          <w:b w:val="false"/>
          <w:bCs w:val="false"/>
          <w:i w:val="false"/>
          <w:iCs w:val="false"/>
          <w:color w:val="000000"/>
          <w:sz w:val="15"/>
          <w:szCs w:val="15"/>
        </w:rPr>
        <w:t xml:space="preserve">[29] MISUMI press release, Fictiv acquisition (USD 350M), 17 Apr 2025</w:t>
      </w:r>
    </w:p>
    <w:p>
      <w:pPr>
        <w:spacing w:after="40" w:line="264" w:lineRule="auto"/>
      </w:pPr>
      <w:r>
        <w:rPr>
          <w:rFonts w:ascii="Arial" w:cs="Arial" w:eastAsia="Arial" w:hAnsi="Arial"/>
          <w:b w:val="false"/>
          <w:bCs w:val="false"/>
          <w:i w:val="false"/>
          <w:iCs w:val="false"/>
          <w:color w:val="000000"/>
          <w:sz w:val="15"/>
          <w:szCs w:val="15"/>
        </w:rPr>
        <w:t xml:space="preserve">[30] All3DP Pro, 'From $10 to $10,000: We Quoted 10 Parts', quotes collected 24-26 Jun 2026</w:t>
      </w:r>
    </w:p>
    <w:p>
      <w:pPr>
        <w:spacing w:after="40" w:line="264" w:lineRule="auto"/>
      </w:pPr>
      <w:r>
        <w:rPr>
          <w:rFonts w:ascii="Arial" w:cs="Arial" w:eastAsia="Arial" w:hAnsi="Arial"/>
          <w:b w:val="false"/>
          <w:bCs w:val="false"/>
          <w:i w:val="false"/>
          <w:iCs w:val="false"/>
          <w:color w:val="000000"/>
          <w:sz w:val="15"/>
          <w:szCs w:val="15"/>
        </w:rPr>
        <w:t xml:space="preserve">[31] All3DP Pro, MJF service cost comparison, 11 Jul 2024 [STALE]</w:t>
      </w:r>
    </w:p>
    <w:p>
      <w:pPr>
        <w:spacing w:after="40" w:line="264" w:lineRule="auto"/>
      </w:pPr>
      <w:r>
        <w:rPr>
          <w:rFonts w:ascii="Arial" w:cs="Arial" w:eastAsia="Arial" w:hAnsi="Arial"/>
          <w:b w:val="false"/>
          <w:bCs w:val="false"/>
          <w:i w:val="false"/>
          <w:iCs w:val="false"/>
          <w:color w:val="000000"/>
          <w:sz w:val="15"/>
          <w:szCs w:val="15"/>
        </w:rPr>
        <w:t xml:space="preserve">[32] Xometry Pro pricing articles (xometry.pro), Dec 2023 pages maintained Oct 2025 [STALE quotes]</w:t>
      </w:r>
    </w:p>
    <w:p>
      <w:pPr>
        <w:spacing w:after="40" w:line="264" w:lineRule="auto"/>
      </w:pPr>
      <w:r>
        <w:rPr>
          <w:rFonts w:ascii="Arial" w:cs="Arial" w:eastAsia="Arial" w:hAnsi="Arial"/>
          <w:b w:val="false"/>
          <w:bCs w:val="false"/>
          <w:i w:val="false"/>
          <w:iCs w:val="false"/>
          <w:color w:val="000000"/>
          <w:sz w:val="15"/>
          <w:szCs w:val="15"/>
        </w:rPr>
        <w:t xml:space="preserve">[33] jlc3dp.com help articles and EU customs reform client notice, 27 Jun 2026; jlcpcb.com EU VAT pages</w:t>
      </w:r>
    </w:p>
    <w:p>
      <w:pPr>
        <w:spacing w:after="40" w:line="264" w:lineRule="auto"/>
      </w:pPr>
      <w:r>
        <w:rPr>
          <w:rFonts w:ascii="Arial" w:cs="Arial" w:eastAsia="Arial" w:hAnsi="Arial"/>
          <w:b w:val="false"/>
          <w:bCs w:val="false"/>
          <w:i w:val="false"/>
          <w:iCs w:val="false"/>
          <w:color w:val="000000"/>
          <w:sz w:val="15"/>
          <w:szCs w:val="15"/>
        </w:rPr>
        <w:t xml:space="preserve">[34] pcbway.com FAQ and shipping/customs help pages, accessed Jul 2026</w:t>
      </w:r>
    </w:p>
    <w:p>
      <w:pPr>
        <w:spacing w:after="40" w:line="264" w:lineRule="auto"/>
      </w:pPr>
      <w:r>
        <w:rPr>
          <w:rFonts w:ascii="Arial" w:cs="Arial" w:eastAsia="Arial" w:hAnsi="Arial"/>
          <w:b w:val="false"/>
          <w:bCs w:val="false"/>
          <w:i w:val="false"/>
          <w:iCs w:val="false"/>
          <w:color w:val="000000"/>
          <w:sz w:val="15"/>
          <w:szCs w:val="15"/>
        </w:rPr>
        <w:t xml:space="preserve">[35] European Commission CBAM pages; Akin Gump (Jan 2026); Mayer Brown (Dec 2025); European Aluminium position paper (Feb 2026)</w:t>
      </w:r>
    </w:p>
    <w:p>
      <w:pPr>
        <w:spacing w:after="40" w:line="264" w:lineRule="auto"/>
      </w:pPr>
      <w:r>
        <w:rPr>
          <w:rFonts w:ascii="Arial" w:cs="Arial" w:eastAsia="Arial" w:hAnsi="Arial"/>
          <w:b w:val="false"/>
          <w:bCs w:val="false"/>
          <w:i w:val="false"/>
          <w:iCs w:val="false"/>
          <w:color w:val="000000"/>
          <w:sz w:val="15"/>
          <w:szCs w:val="15"/>
        </w:rPr>
        <w:t xml:space="preserve">[36] Regulation (EU) 2021/821 (EUR-Lex, consolidated 2025)</w:t>
      </w:r>
    </w:p>
    <w:p>
      <w:pPr>
        <w:spacing w:after="40" w:line="264" w:lineRule="auto"/>
      </w:pPr>
      <w:r>
        <w:rPr>
          <w:rFonts w:ascii="Arial" w:cs="Arial" w:eastAsia="Arial" w:hAnsi="Arial"/>
          <w:b w:val="false"/>
          <w:bCs w:val="false"/>
          <w:i w:val="false"/>
          <w:iCs w:val="false"/>
          <w:color w:val="000000"/>
          <w:sz w:val="15"/>
          <w:szCs w:val="15"/>
        </w:rPr>
        <w:t xml:space="preserve">[37] Bundeswehr AQAP 2110 pages; Kiwa and isobg.com certification guides; Lockheed Martin UK supplier quality requirements</w:t>
      </w:r>
    </w:p>
    <w:p>
      <w:pPr>
        <w:spacing w:after="40" w:line="264" w:lineRule="auto"/>
      </w:pPr>
      <w:r>
        <w:rPr>
          <w:rFonts w:ascii="Arial" w:cs="Arial" w:eastAsia="Arial" w:hAnsi="Arial"/>
          <w:b w:val="false"/>
          <w:bCs w:val="false"/>
          <w:i w:val="false"/>
          <w:iCs w:val="false"/>
          <w:color w:val="000000"/>
          <w:sz w:val="15"/>
          <w:szCs w:val="15"/>
        </w:rPr>
        <w:t xml:space="preserve">[38] VoxelMatters, Unionfab fleet verification (727+ printers)</w:t>
      </w:r>
    </w:p>
    <w:p>
      <w:pPr>
        <w:spacing w:after="40" w:line="264" w:lineRule="auto"/>
      </w:pPr>
      <w:r>
        <w:rPr>
          <w:rFonts w:ascii="Arial" w:cs="Arial" w:eastAsia="Arial" w:hAnsi="Arial"/>
          <w:b w:val="false"/>
          <w:bCs w:val="false"/>
          <w:i w:val="false"/>
          <w:iCs w:val="false"/>
          <w:color w:val="000000"/>
          <w:sz w:val="15"/>
          <w:szCs w:val="15"/>
        </w:rPr>
        <w:t xml:space="preserve">[39] Grips Intelligence, jlcpcb.com web-analytics revenue estimates (unaudited)</w:t>
      </w:r>
    </w:p>
    <w:p>
      <w:pPr>
        <w:spacing w:after="40" w:line="264" w:lineRule="auto"/>
      </w:pPr>
      <w:r>
        <w:rPr>
          <w:rFonts w:ascii="Arial" w:cs="Arial" w:eastAsia="Arial" w:hAnsi="Arial"/>
          <w:b w:val="false"/>
          <w:bCs w:val="false"/>
          <w:i w:val="false"/>
          <w:iCs w:val="false"/>
          <w:color w:val="000000"/>
          <w:sz w:val="15"/>
          <w:szCs w:val="15"/>
        </w:rPr>
        <w:t xml:space="preserve">[40] North Data, kreatize GmbH HRB 195200 B publication history; Creditreform, accessed 14 Jul 2026</w:t>
      </w:r>
    </w:p>
    <w:p>
      <w:pPr>
        <w:spacing w:after="40" w:line="264" w:lineRule="auto"/>
      </w:pPr>
      <w:r>
        <w:rPr>
          <w:rFonts w:ascii="Arial" w:cs="Arial" w:eastAsia="Arial" w:hAnsi="Arial"/>
          <w:b w:val="false"/>
          <w:bCs w:val="false"/>
          <w:i w:val="false"/>
          <w:iCs w:val="false"/>
          <w:color w:val="000000"/>
          <w:sz w:val="15"/>
          <w:szCs w:val="15"/>
        </w:rPr>
        <w:t xml:space="preserve">[41] Business Manchester, Fractory France/Italy expansion, 2 Mar 2026; Machinery, Apr 2025</w:t>
      </w:r>
    </w:p>
    <w:p>
      <w:pPr>
        <w:spacing w:after="40" w:line="264" w:lineRule="auto"/>
      </w:pPr>
      <w:r>
        <w:rPr>
          <w:rFonts w:ascii="Arial" w:cs="Arial" w:eastAsia="Arial" w:hAnsi="Arial"/>
          <w:b w:val="false"/>
          <w:bCs w:val="false"/>
          <w:i w:val="false"/>
          <w:iCs w:val="false"/>
          <w:color w:val="000000"/>
          <w:sz w:val="15"/>
          <w:szCs w:val="15"/>
        </w:rPr>
        <w:t xml:space="preserve">[42] protolabs.com help center (pricing and payment), accessed Jul 2026</w:t>
      </w:r>
    </w:p>
    <w:p>
      <w:pPr>
        <w:spacing w:after="40" w:line="264" w:lineRule="auto"/>
      </w:pPr>
      <w:r>
        <w:rPr>
          <w:rFonts w:ascii="Arial" w:cs="Arial" w:eastAsia="Arial" w:hAnsi="Arial"/>
          <w:b w:val="false"/>
          <w:bCs w:val="false"/>
          <w:i w:val="false"/>
          <w:iCs w:val="false"/>
          <w:color w:val="000000"/>
          <w:sz w:val="15"/>
          <w:szCs w:val="15"/>
        </w:rPr>
        <w:t xml:space="preserve">[43] sculpteo.com price and delivery page, modified 13 Feb 2026</w:t>
      </w:r>
    </w:p>
    <w:p>
      <w:pPr>
        <w:spacing w:after="40" w:line="264" w:lineRule="auto"/>
      </w:pPr>
      <w:r>
        <w:rPr>
          <w:rFonts w:ascii="Arial" w:cs="Arial" w:eastAsia="Arial" w:hAnsi="Arial"/>
          <w:b w:val="false"/>
          <w:bCs w:val="false"/>
          <w:i w:val="false"/>
          <w:iCs w:val="false"/>
          <w:color w:val="000000"/>
          <w:sz w:val="15"/>
          <w:szCs w:val="15"/>
        </w:rPr>
        <w:t xml:space="preserve">[44] weerg.com site: about, PA12, shipping FAQ, materials pages, accessed Jul 2026</w:t>
      </w:r>
    </w:p>
    <w:p>
      <w:pPr>
        <w:spacing w:after="40" w:line="264" w:lineRule="auto"/>
      </w:pPr>
      <w:r>
        <w:rPr>
          <w:rFonts w:ascii="Arial" w:cs="Arial" w:eastAsia="Arial" w:hAnsi="Arial"/>
          <w:b w:val="false"/>
          <w:bCs w:val="false"/>
          <w:i w:val="false"/>
          <w:iCs w:val="false"/>
          <w:color w:val="000000"/>
          <w:sz w:val="15"/>
          <w:szCs w:val="15"/>
        </w:rPr>
        <w:t xml:space="preserve">[45] mastergraphics.com HP 3D printer cost guide (5000-series from ~USD 350k, 5200/5600 to USD 600k+); formlabs.com / dynamism.com Fuse 1+ 30W complete package ~USD 57,442</w:t>
      </w:r>
    </w:p>
    <w:p>
      <w:pPr>
        <w:spacing w:after="40" w:line="264" w:lineRule="auto"/>
      </w:pPr>
      <w:r>
        <w:rPr>
          <w:rFonts w:ascii="Arial" w:cs="Arial" w:eastAsia="Arial" w:hAnsi="Arial"/>
          <w:b w:val="false"/>
          <w:bCs w:val="false"/>
          <w:i w:val="false"/>
          <w:iCs w:val="false"/>
          <w:color w:val="000000"/>
          <w:sz w:val="15"/>
          <w:szCs w:val="15"/>
        </w:rPr>
        <w:t xml:space="preserve">[46] Business Review EU, China procurement search-demand analysis, 2025-26</w:t>
      </w:r>
    </w:p>
    <w:p>
      <w:pPr>
        <w:spacing w:after="40" w:line="264" w:lineRule="auto"/>
      </w:pPr>
      <w:r>
        <w:rPr>
          <w:rFonts w:ascii="Arial" w:cs="Arial" w:eastAsia="Arial" w:hAnsi="Arial"/>
          <w:b w:val="false"/>
          <w:bCs w:val="false"/>
          <w:i w:val="false"/>
          <w:iCs w:val="false"/>
          <w:color w:val="000000"/>
          <w:sz w:val="15"/>
          <w:szCs w:val="15"/>
        </w:rPr>
        <w:t xml:space="preserve">[47] European Parliament, low-value imports briefing (4.6B parcels, 91% from China, 2024), 8 Jul 2025</w:t>
      </w:r>
    </w:p>
    <w:p>
      <w:pPr>
        <w:spacing w:after="40" w:line="264" w:lineRule="auto"/>
      </w:pPr>
      <w:r>
        <w:rPr>
          <w:rFonts w:ascii="Arial" w:cs="Arial" w:eastAsia="Arial" w:hAnsi="Arial"/>
          <w:b w:val="false"/>
          <w:bCs w:val="false"/>
          <w:i w:val="false"/>
          <w:iCs w:val="false"/>
          <w:color w:val="000000"/>
          <w:sz w:val="15"/>
          <w:szCs w:val="15"/>
        </w:rPr>
        <w:t xml:space="preserve">[48] Bloomberg, 9 Dec 2025 (EUR 52B German order batch); Atlas Institute, 2026 German defense budget analysis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2026-07-14T07:58:57.716Z</dcterms:created>
  <dcterms:modified xsi:type="dcterms:W3CDTF">2026-07-14T07:58:57.716Z</dcterms:modified>
</cp:coreProperties>
</file>

<file path=docProps/custom.xml><?xml version="1.0" encoding="utf-8"?>
<Properties xmlns="http://schemas.openxmlformats.org/officeDocument/2006/custom-properties" xmlns:vt="http://schemas.openxmlformats.org/officeDocument/2006/docPropsVTypes"/>
</file>