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1F3864"/>
          <w:sz w:val="19"/>
          <w:szCs w:val="19"/>
        </w:rPr>
        <w:t xml:space="preserve">AEG BUYBACK STUDY SERIES</w:t>
      </w:r>
    </w:p>
    <w:p>
      <w:pPr>
        <w:spacing w:after="180"/>
      </w:pPr>
      <w:r>
        <w:rPr>
          <w:b/>
          <w:bCs/>
          <w:sz w:val="32"/>
          <w:szCs w:val="32"/>
        </w:rPr>
        <w:t xml:space="preserve">What Costco's Buyback Actually Earned</w:t>
      </w:r>
    </w:p>
    <w:p>
      <w:pPr>
        <w:spacing w:after="60"/>
      </w:pPr>
      <w:r>
        <w:rPr>
          <w:i/>
          <w:iCs/>
          <w:color w:val="555555"/>
          <w:sz w:val="18"/>
          <w:szCs w:val="18"/>
        </w:rPr>
        <w:t xml:space="preserve">Fiscal 2015–2025, from filings. Fourth company in the template series, after Apple and Home Depot. Corrected study window (FY2015-2025, not FY2017-2025 as first reported) - see the Method note at the end.</w:t>
      </w:r>
    </w:p>
    <w:p>
      <w:pPr>
        <w:pBdr>
          <w:bottom w:val="single" w:color="999999" w:sz="6" w:space="4"/>
        </w:pBdr>
        <w:spacing w:after="200"/>
      </w:pPr>
    </w:p>
    <w:p>
      <w:pPr>
        <w:spacing w:after="150"/>
      </w:pPr>
      <w:r>
        <w:rPr>
          <w:color w:val="2B3947"/>
          <w:sz w:val="21"/>
          <w:szCs w:val="21"/>
        </w:rPr>
        <w:t xml:space="preserve">Costco's diluted earnings per share grew from $5.37 to $18.21 over the eleven years to fiscal 2025 — all of it, and then a fraction more, from the operating business. The buyback contributed nothing to that growth; on the template's own arithmetic it was very slightly negative. That is the headline, and it separates Costco cleanly from Apple and Home Depot, where the buyback was a real and material contributor to per-share growth.</w:t>
      </w:r>
    </w:p>
    <w:p>
      <w:pPr>
        <w:pStyle w:val="Heading1"/>
        <w:spacing w:after="140" w:before="340"/>
      </w:pPr>
      <w:r>
        <w:rPr>
          <w:b/>
          <w:bCs/>
          <w:color w:val="1F3864"/>
          <w:sz w:val="25"/>
          <w:szCs w:val="25"/>
        </w:rPr>
        <w:t xml:space="preserve">1 · What Was Bought, And At What Price</w:t>
      </w:r>
    </w:p>
    <w:p>
      <w:pPr>
        <w:spacing w:after="150"/>
      </w:pPr>
      <w:r>
        <w:rPr>
          <w:sz w:val="20"/>
          <w:szCs w:val="20"/>
        </w:rPr>
        <w:t xml:space="preserve">Costco tags share retirements directly (StockRepurchasedAndRetiredDuringPeriodShares), the same clean pattern Apple's own study uses — no derivation was needed for any of these eleven years. Dividing cash spent by shares retired gives the true average price paid: weighted by shares, Costco paid $290.78 for the shares it retired; weighted by dollars, the average price paid was $381.62, and the dollar-weighted multiple paid was 35.89 times trailing earnings.</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750"/>
        <w:gridCol w:w="1050"/>
        <w:gridCol w:w="1050"/>
        <w:gridCol w:w="1000"/>
        <w:gridCol w:w="1000"/>
        <w:gridCol w:w="1200"/>
        <w:gridCol w:w="1000"/>
      </w:tblGrid>
      <w:tr>
        <w:trPr>
          <w:tblHeader/>
        </w:trPr>
        <w:tc>
          <w:tcPr>
            <w:tcW w:type="dxa" w:w="750"/>
            <w:shd w:fill="1F3864" w:val="clear"/>
            <w:tcMar>
              <w:top w:type="dxa" w:w="50"/>
              <w:left w:type="dxa" w:w="80"/>
              <w:bottom w:type="dxa" w:w="50"/>
              <w:right w:type="dxa" w:w="80"/>
            </w:tcMar>
            <w:vAlign w:val="center"/>
          </w:tcPr>
          <w:p>
            <w:pPr>
              <w:jc w:val="center"/>
            </w:pPr>
            <w:r>
              <w:rPr>
                <w:b/>
                <w:bCs/>
                <w:color w:val="FFFFFF"/>
                <w:sz w:val="16"/>
                <w:szCs w:val="16"/>
              </w:rPr>
              <w:t xml:space="preserve">FY</w:t>
            </w:r>
          </w:p>
        </w:tc>
        <w:tc>
          <w:tcPr>
            <w:tcW w:type="dxa" w:w="1050"/>
            <w:shd w:fill="1F3864" w:val="clear"/>
            <w:tcMar>
              <w:top w:type="dxa" w:w="50"/>
              <w:left w:type="dxa" w:w="80"/>
              <w:bottom w:type="dxa" w:w="50"/>
              <w:right w:type="dxa" w:w="80"/>
            </w:tcMar>
            <w:vAlign w:val="center"/>
          </w:tcPr>
          <w:p>
            <w:pPr>
              <w:jc w:val="center"/>
            </w:pPr>
            <w:r>
              <w:rPr>
                <w:b/>
                <w:bCs/>
                <w:color w:val="FFFFFF"/>
                <w:sz w:val="16"/>
                <w:szCs w:val="16"/>
              </w:rPr>
              <w:t xml:space="preserve">Cash $mn</w:t>
            </w:r>
          </w:p>
        </w:tc>
        <w:tc>
          <w:tcPr>
            <w:tcW w:type="dxa" w:w="1050"/>
            <w:shd w:fill="1F3864" w:val="clear"/>
            <w:tcMar>
              <w:top w:type="dxa" w:w="50"/>
              <w:left w:type="dxa" w:w="80"/>
              <w:bottom w:type="dxa" w:w="50"/>
              <w:right w:type="dxa" w:w="80"/>
            </w:tcMar>
            <w:vAlign w:val="center"/>
          </w:tcPr>
          <w:p>
            <w:pPr>
              <w:jc w:val="center"/>
            </w:pPr>
            <w:r>
              <w:rPr>
                <w:b/>
                <w:bCs/>
                <w:color w:val="FFFFFF"/>
                <w:sz w:val="16"/>
                <w:szCs w:val="16"/>
              </w:rPr>
              <w:t xml:space="preserve">Retired mn</w:t>
            </w:r>
          </w:p>
        </w:tc>
        <w:tc>
          <w:tcPr>
            <w:tcW w:type="dxa" w:w="1000"/>
            <w:shd w:fill="1F3864" w:val="clear"/>
            <w:tcMar>
              <w:top w:type="dxa" w:w="50"/>
              <w:left w:type="dxa" w:w="80"/>
              <w:bottom w:type="dxa" w:w="50"/>
              <w:right w:type="dxa" w:w="80"/>
            </w:tcMar>
            <w:vAlign w:val="center"/>
          </w:tcPr>
          <w:p>
            <w:pPr>
              <w:jc w:val="center"/>
            </w:pPr>
            <w:r>
              <w:rPr>
                <w:b/>
                <w:bCs/>
                <w:color w:val="FFFFFF"/>
                <w:sz w:val="16"/>
                <w:szCs w:val="16"/>
              </w:rPr>
              <w:t xml:space="preserve">% shares</w:t>
            </w:r>
          </w:p>
        </w:tc>
        <w:tc>
          <w:tcPr>
            <w:tcW w:type="dxa" w:w="1000"/>
            <w:shd w:fill="1F3864" w:val="clear"/>
            <w:tcMar>
              <w:top w:type="dxa" w:w="50"/>
              <w:left w:type="dxa" w:w="80"/>
              <w:bottom w:type="dxa" w:w="50"/>
              <w:right w:type="dxa" w:w="80"/>
            </w:tcMar>
            <w:vAlign w:val="center"/>
          </w:tcPr>
          <w:p>
            <w:pPr>
              <w:jc w:val="center"/>
            </w:pPr>
            <w:r>
              <w:rPr>
                <w:b/>
                <w:bCs/>
                <w:color w:val="FFFFFF"/>
                <w:sz w:val="16"/>
                <w:szCs w:val="16"/>
              </w:rPr>
              <w:t xml:space="preserve">Net chg</w:t>
            </w:r>
          </w:p>
        </w:tc>
        <w:tc>
          <w:tcPr>
            <w:tcW w:type="dxa" w:w="1200"/>
            <w:shd w:fill="1F3864" w:val="clear"/>
            <w:tcMar>
              <w:top w:type="dxa" w:w="50"/>
              <w:left w:type="dxa" w:w="80"/>
              <w:bottom w:type="dxa" w:w="50"/>
              <w:right w:type="dxa" w:w="80"/>
            </w:tcMar>
            <w:vAlign w:val="center"/>
          </w:tcPr>
          <w:p>
            <w:pPr>
              <w:jc w:val="center"/>
            </w:pPr>
            <w:r>
              <w:rPr>
                <w:b/>
                <w:bCs/>
                <w:color w:val="FFFFFF"/>
                <w:sz w:val="16"/>
                <w:szCs w:val="16"/>
              </w:rPr>
              <w:t xml:space="preserve">Price paid</w:t>
            </w:r>
          </w:p>
        </w:tc>
        <w:tc>
          <w:tcPr>
            <w:tcW w:type="dxa" w:w="1000"/>
            <w:shd w:fill="1F3864" w:val="clear"/>
            <w:tcMar>
              <w:top w:type="dxa" w:w="50"/>
              <w:left w:type="dxa" w:w="80"/>
              <w:bottom w:type="dxa" w:w="50"/>
              <w:right w:type="dxa" w:w="80"/>
            </w:tcMar>
            <w:vAlign w:val="center"/>
          </w:tcPr>
          <w:p>
            <w:pPr>
              <w:jc w:val="center"/>
            </w:pPr>
            <w:r>
              <w:rPr>
                <w:b/>
                <w:bCs/>
                <w:color w:val="FFFFFF"/>
                <w:sz w:val="16"/>
                <w:szCs w:val="16"/>
              </w:rPr>
              <w:t xml:space="preserve">Mult. paid</w:t>
            </w:r>
          </w:p>
        </w:tc>
      </w:tr>
      <w:tr>
        <w:tc>
          <w:tcPr>
            <w:tcW w:type="dxa" w:w="750"/>
            <w:tcMar>
              <w:top w:type="dxa" w:w="50"/>
              <w:left w:type="dxa" w:w="80"/>
              <w:bottom w:type="dxa" w:w="50"/>
              <w:right w:type="dxa" w:w="80"/>
            </w:tcMar>
            <w:vAlign w:val="center"/>
          </w:tcPr>
          <w:p>
            <w:pPr>
              <w:jc w:val="center"/>
            </w:pPr>
            <w:r>
              <w:rPr>
                <w:color w:val="000000"/>
                <w:sz w:val="18"/>
                <w:szCs w:val="18"/>
              </w:rPr>
              <w:t xml:space="preserve">2015</w:t>
            </w:r>
          </w:p>
        </w:tc>
        <w:tc>
          <w:tcPr>
            <w:tcW w:type="dxa" w:w="1050"/>
            <w:tcMar>
              <w:top w:type="dxa" w:w="50"/>
              <w:left w:type="dxa" w:w="80"/>
              <w:bottom w:type="dxa" w:w="50"/>
              <w:right w:type="dxa" w:w="80"/>
            </w:tcMar>
            <w:vAlign w:val="center"/>
          </w:tcPr>
          <w:p>
            <w:pPr>
              <w:jc w:val="center"/>
            </w:pPr>
            <w:r>
              <w:rPr>
                <w:color w:val="000000"/>
                <w:sz w:val="18"/>
                <w:szCs w:val="18"/>
              </w:rPr>
              <w:t xml:space="preserve">481</w:t>
            </w:r>
          </w:p>
        </w:tc>
        <w:tc>
          <w:tcPr>
            <w:tcW w:type="dxa" w:w="1050"/>
            <w:tcMar>
              <w:top w:type="dxa" w:w="50"/>
              <w:left w:type="dxa" w:w="80"/>
              <w:bottom w:type="dxa" w:w="50"/>
              <w:right w:type="dxa" w:w="80"/>
            </w:tcMar>
            <w:vAlign w:val="center"/>
          </w:tcPr>
          <w:p>
            <w:pPr>
              <w:jc w:val="center"/>
            </w:pPr>
            <w:r>
              <w:rPr>
                <w:color w:val="000000"/>
                <w:sz w:val="18"/>
                <w:szCs w:val="18"/>
              </w:rPr>
              <w:t xml:space="preserve">3.5</w:t>
            </w:r>
          </w:p>
        </w:tc>
        <w:tc>
          <w:tcPr>
            <w:tcW w:type="dxa" w:w="1000"/>
            <w:tcMar>
              <w:top w:type="dxa" w:w="50"/>
              <w:left w:type="dxa" w:w="80"/>
              <w:bottom w:type="dxa" w:w="50"/>
              <w:right w:type="dxa" w:w="80"/>
            </w:tcMar>
            <w:vAlign w:val="center"/>
          </w:tcPr>
          <w:p>
            <w:pPr>
              <w:jc w:val="center"/>
            </w:pPr>
            <w:r>
              <w:rPr>
                <w:color w:val="000000"/>
                <w:sz w:val="18"/>
                <w:szCs w:val="18"/>
              </w:rPr>
              <w:t xml:space="preserve">0.79%</w:t>
            </w:r>
          </w:p>
        </w:tc>
        <w:tc>
          <w:tcPr>
            <w:tcW w:type="dxa" w:w="1000"/>
            <w:tcMar>
              <w:top w:type="dxa" w:w="50"/>
              <w:left w:type="dxa" w:w="80"/>
              <w:bottom w:type="dxa" w:w="50"/>
              <w:right w:type="dxa" w:w="80"/>
            </w:tcMar>
            <w:vAlign w:val="center"/>
          </w:tcPr>
          <w:p>
            <w:pPr>
              <w:jc w:val="center"/>
            </w:pPr>
            <w:r>
              <w:rPr>
                <w:color w:val="000000"/>
                <w:sz w:val="18"/>
                <w:szCs w:val="18"/>
              </w:rPr>
              <w:t xml:space="preserve">+0.06%</w:t>
            </w:r>
          </w:p>
        </w:tc>
        <w:tc>
          <w:tcPr>
            <w:tcW w:type="dxa" w:w="1200"/>
            <w:tcMar>
              <w:top w:type="dxa" w:w="50"/>
              <w:left w:type="dxa" w:w="80"/>
              <w:bottom w:type="dxa" w:w="50"/>
              <w:right w:type="dxa" w:w="80"/>
            </w:tcMar>
            <w:vAlign w:val="center"/>
          </w:tcPr>
          <w:p>
            <w:pPr>
              <w:jc w:val="center"/>
            </w:pPr>
            <w:r>
              <w:rPr>
                <w:color w:val="000000"/>
                <w:sz w:val="18"/>
                <w:szCs w:val="18"/>
              </w:rPr>
              <w:t xml:space="preserve">139.18</w:t>
            </w:r>
          </w:p>
        </w:tc>
        <w:tc>
          <w:tcPr>
            <w:tcW w:type="dxa" w:w="1000"/>
            <w:tcMar>
              <w:top w:type="dxa" w:w="50"/>
              <w:left w:type="dxa" w:w="80"/>
              <w:bottom w:type="dxa" w:w="50"/>
              <w:right w:type="dxa" w:w="80"/>
            </w:tcMar>
            <w:vAlign w:val="center"/>
          </w:tcPr>
          <w:p>
            <w:pPr>
              <w:jc w:val="center"/>
            </w:pPr>
            <w:r>
              <w:rPr>
                <w:color w:val="000000"/>
                <w:sz w:val="18"/>
                <w:szCs w:val="18"/>
              </w:rPr>
              <w:t xml:space="preserve">25.9x</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2016</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486</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3.2</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0.73%</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-0.10%</w:t>
            </w:r>
          </w:p>
        </w:tc>
        <w:tc>
          <w:tcPr>
            <w:tcW w:type="dxa" w:w="1200"/>
            <w:shd w:fill="EEF2F7" w:val="clear"/>
            <w:tcMar>
              <w:top w:type="dxa" w:w="50"/>
              <w:left w:type="dxa" w:w="80"/>
              <w:bottom w:type="dxa" w:w="50"/>
              <w:right w:type="dxa" w:w="80"/>
            </w:tcMar>
            <w:vAlign w:val="center"/>
          </w:tcPr>
          <w:p>
            <w:pPr>
              <w:jc w:val="center"/>
            </w:pPr>
            <w:r>
              <w:rPr>
                <w:color w:val="000000"/>
                <w:sz w:val="18"/>
                <w:szCs w:val="18"/>
              </w:rPr>
              <w:t xml:space="preserve">152.64</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28.6x</w:t>
            </w:r>
          </w:p>
        </w:tc>
      </w:tr>
      <w:tr>
        <w:tc>
          <w:tcPr>
            <w:tcW w:type="dxa" w:w="750"/>
            <w:tcMar>
              <w:top w:type="dxa" w:w="50"/>
              <w:left w:type="dxa" w:w="80"/>
              <w:bottom w:type="dxa" w:w="50"/>
              <w:right w:type="dxa" w:w="80"/>
            </w:tcMar>
            <w:vAlign w:val="center"/>
          </w:tcPr>
          <w:p>
            <w:pPr>
              <w:jc w:val="center"/>
            </w:pPr>
            <w:r>
              <w:rPr>
                <w:color w:val="000000"/>
                <w:sz w:val="18"/>
                <w:szCs w:val="18"/>
              </w:rPr>
              <w:t xml:space="preserve">2017</w:t>
            </w:r>
          </w:p>
        </w:tc>
        <w:tc>
          <w:tcPr>
            <w:tcW w:type="dxa" w:w="1050"/>
            <w:tcMar>
              <w:top w:type="dxa" w:w="50"/>
              <w:left w:type="dxa" w:w="80"/>
              <w:bottom w:type="dxa" w:w="50"/>
              <w:right w:type="dxa" w:w="80"/>
            </w:tcMar>
            <w:vAlign w:val="center"/>
          </w:tcPr>
          <w:p>
            <w:pPr>
              <w:jc w:val="center"/>
            </w:pPr>
            <w:r>
              <w:rPr>
                <w:color w:val="000000"/>
                <w:sz w:val="18"/>
                <w:szCs w:val="18"/>
              </w:rPr>
              <w:t xml:space="preserve">469</w:t>
            </w:r>
          </w:p>
        </w:tc>
        <w:tc>
          <w:tcPr>
            <w:tcW w:type="dxa" w:w="1050"/>
            <w:tcMar>
              <w:top w:type="dxa" w:w="50"/>
              <w:left w:type="dxa" w:w="80"/>
              <w:bottom w:type="dxa" w:w="50"/>
              <w:right w:type="dxa" w:w="80"/>
            </w:tcMar>
            <w:vAlign w:val="center"/>
          </w:tcPr>
          <w:p>
            <w:pPr>
              <w:jc w:val="center"/>
            </w:pPr>
            <w:r>
              <w:rPr>
                <w:color w:val="000000"/>
                <w:sz w:val="18"/>
                <w:szCs w:val="18"/>
              </w:rPr>
              <w:t xml:space="preserve">3.0</w:t>
            </w:r>
          </w:p>
        </w:tc>
        <w:tc>
          <w:tcPr>
            <w:tcW w:type="dxa" w:w="1000"/>
            <w:tcMar>
              <w:top w:type="dxa" w:w="50"/>
              <w:left w:type="dxa" w:w="80"/>
              <w:bottom w:type="dxa" w:w="50"/>
              <w:right w:type="dxa" w:w="80"/>
            </w:tcMar>
            <w:vAlign w:val="center"/>
          </w:tcPr>
          <w:p>
            <w:pPr>
              <w:jc w:val="center"/>
            </w:pPr>
            <w:r>
              <w:rPr>
                <w:color w:val="000000"/>
                <w:sz w:val="18"/>
                <w:szCs w:val="18"/>
              </w:rPr>
              <w:t xml:space="preserve">0.69%</w:t>
            </w:r>
          </w:p>
        </w:tc>
        <w:tc>
          <w:tcPr>
            <w:tcW w:type="dxa" w:w="1000"/>
            <w:tcMar>
              <w:top w:type="dxa" w:w="50"/>
              <w:left w:type="dxa" w:w="80"/>
              <w:bottom w:type="dxa" w:w="50"/>
              <w:right w:type="dxa" w:w="80"/>
            </w:tcMar>
            <w:vAlign w:val="center"/>
          </w:tcPr>
          <w:p>
            <w:pPr>
              <w:jc w:val="center"/>
            </w:pPr>
            <w:r>
              <w:rPr>
                <w:color w:val="000000"/>
                <w:sz w:val="18"/>
                <w:szCs w:val="18"/>
              </w:rPr>
              <w:t xml:space="preserve">-0.07%</w:t>
            </w:r>
          </w:p>
        </w:tc>
        <w:tc>
          <w:tcPr>
            <w:tcW w:type="dxa" w:w="1200"/>
            <w:tcMar>
              <w:top w:type="dxa" w:w="50"/>
              <w:left w:type="dxa" w:w="80"/>
              <w:bottom w:type="dxa" w:w="50"/>
              <w:right w:type="dxa" w:w="80"/>
            </w:tcMar>
            <w:vAlign w:val="center"/>
          </w:tcPr>
          <w:p>
            <w:pPr>
              <w:jc w:val="center"/>
            </w:pPr>
            <w:r>
              <w:rPr>
                <w:color w:val="000000"/>
                <w:sz w:val="18"/>
                <w:szCs w:val="18"/>
              </w:rPr>
              <w:t xml:space="preserve">156.44</w:t>
            </w:r>
          </w:p>
        </w:tc>
        <w:tc>
          <w:tcPr>
            <w:tcW w:type="dxa" w:w="1000"/>
            <w:tcMar>
              <w:top w:type="dxa" w:w="50"/>
              <w:left w:type="dxa" w:w="80"/>
              <w:bottom w:type="dxa" w:w="50"/>
              <w:right w:type="dxa" w:w="80"/>
            </w:tcMar>
            <w:vAlign w:val="center"/>
          </w:tcPr>
          <w:p>
            <w:pPr>
              <w:jc w:val="center"/>
            </w:pPr>
            <w:r>
              <w:rPr>
                <w:color w:val="000000"/>
                <w:sz w:val="18"/>
                <w:szCs w:val="18"/>
              </w:rPr>
              <w:t xml:space="preserve">25.7x</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2018</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328</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1.8</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0.40%</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+0.23%</w:t>
            </w:r>
          </w:p>
        </w:tc>
        <w:tc>
          <w:tcPr>
            <w:tcW w:type="dxa" w:w="1200"/>
            <w:shd w:fill="EEF2F7" w:val="clear"/>
            <w:tcMar>
              <w:top w:type="dxa" w:w="50"/>
              <w:left w:type="dxa" w:w="80"/>
              <w:bottom w:type="dxa" w:w="50"/>
              <w:right w:type="dxa" w:w="80"/>
            </w:tcMar>
            <w:vAlign w:val="center"/>
          </w:tcPr>
          <w:p>
            <w:pPr>
              <w:jc w:val="center"/>
            </w:pPr>
            <w:r>
              <w:rPr>
                <w:color w:val="000000"/>
                <w:sz w:val="18"/>
                <w:szCs w:val="18"/>
              </w:rPr>
              <w:t xml:space="preserve">186.79</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26.3x</w:t>
            </w:r>
          </w:p>
        </w:tc>
      </w:tr>
      <w:tr>
        <w:tc>
          <w:tcPr>
            <w:tcW w:type="dxa" w:w="750"/>
            <w:tcMar>
              <w:top w:type="dxa" w:w="50"/>
              <w:left w:type="dxa" w:w="80"/>
              <w:bottom w:type="dxa" w:w="50"/>
              <w:right w:type="dxa" w:w="80"/>
            </w:tcMar>
            <w:vAlign w:val="center"/>
          </w:tcPr>
          <w:p>
            <w:pPr>
              <w:jc w:val="center"/>
            </w:pPr>
            <w:r>
              <w:rPr>
                <w:color w:val="000000"/>
                <w:sz w:val="18"/>
                <w:szCs w:val="18"/>
              </w:rPr>
              <w:t xml:space="preserve">2019</w:t>
            </w:r>
          </w:p>
        </w:tc>
        <w:tc>
          <w:tcPr>
            <w:tcW w:type="dxa" w:w="1050"/>
            <w:tcMar>
              <w:top w:type="dxa" w:w="50"/>
              <w:left w:type="dxa" w:w="80"/>
              <w:bottom w:type="dxa" w:w="50"/>
              <w:right w:type="dxa" w:w="80"/>
            </w:tcMar>
            <w:vAlign w:val="center"/>
          </w:tcPr>
          <w:p>
            <w:pPr>
              <w:jc w:val="center"/>
            </w:pPr>
            <w:r>
              <w:rPr>
                <w:color w:val="000000"/>
                <w:sz w:val="18"/>
                <w:szCs w:val="18"/>
              </w:rPr>
              <w:t xml:space="preserve">247</w:t>
            </w:r>
          </w:p>
        </w:tc>
        <w:tc>
          <w:tcPr>
            <w:tcW w:type="dxa" w:w="1050"/>
            <w:tcMar>
              <w:top w:type="dxa" w:w="50"/>
              <w:left w:type="dxa" w:w="80"/>
              <w:bottom w:type="dxa" w:w="50"/>
              <w:right w:type="dxa" w:w="80"/>
            </w:tcMar>
            <w:vAlign w:val="center"/>
          </w:tcPr>
          <w:p>
            <w:pPr>
              <w:jc w:val="center"/>
            </w:pPr>
            <w:r>
              <w:rPr>
                <w:color w:val="000000"/>
                <w:sz w:val="18"/>
                <w:szCs w:val="18"/>
              </w:rPr>
              <w:t xml:space="preserve">1.1</w:t>
            </w:r>
          </w:p>
        </w:tc>
        <w:tc>
          <w:tcPr>
            <w:tcW w:type="dxa" w:w="1000"/>
            <w:tcMar>
              <w:top w:type="dxa" w:w="50"/>
              <w:left w:type="dxa" w:w="80"/>
              <w:bottom w:type="dxa" w:w="50"/>
              <w:right w:type="dxa" w:w="80"/>
            </w:tcMar>
            <w:vAlign w:val="center"/>
          </w:tcPr>
          <w:p>
            <w:pPr>
              <w:jc w:val="center"/>
            </w:pPr>
            <w:r>
              <w:rPr>
                <w:color w:val="000000"/>
                <w:sz w:val="18"/>
                <w:szCs w:val="18"/>
              </w:rPr>
              <w:t xml:space="preserve">0.25%</w:t>
            </w:r>
          </w:p>
        </w:tc>
        <w:tc>
          <w:tcPr>
            <w:tcW w:type="dxa" w:w="1000"/>
            <w:tcMar>
              <w:top w:type="dxa" w:w="50"/>
              <w:left w:type="dxa" w:w="80"/>
              <w:bottom w:type="dxa" w:w="50"/>
              <w:right w:type="dxa" w:w="80"/>
            </w:tcMar>
            <w:vAlign w:val="center"/>
          </w:tcPr>
          <w:p>
            <w:pPr>
              <w:jc w:val="center"/>
            </w:pPr>
            <w:r>
              <w:rPr>
                <w:color w:val="000000"/>
                <w:sz w:val="18"/>
                <w:szCs w:val="18"/>
              </w:rPr>
              <w:t xml:space="preserve">+0.33%</w:t>
            </w:r>
          </w:p>
        </w:tc>
        <w:tc>
          <w:tcPr>
            <w:tcW w:type="dxa" w:w="1200"/>
            <w:tcMar>
              <w:top w:type="dxa" w:w="50"/>
              <w:left w:type="dxa" w:w="80"/>
              <w:bottom w:type="dxa" w:w="50"/>
              <w:right w:type="dxa" w:w="80"/>
            </w:tcMar>
            <w:vAlign w:val="center"/>
          </w:tcPr>
          <w:p>
            <w:pPr>
              <w:jc w:val="center"/>
            </w:pPr>
            <w:r>
              <w:rPr>
                <w:color w:val="000000"/>
                <w:sz w:val="18"/>
                <w:szCs w:val="18"/>
              </w:rPr>
              <w:t xml:space="preserve">225.16</w:t>
            </w:r>
          </w:p>
        </w:tc>
        <w:tc>
          <w:tcPr>
            <w:tcW w:type="dxa" w:w="1000"/>
            <w:tcMar>
              <w:top w:type="dxa" w:w="50"/>
              <w:left w:type="dxa" w:w="80"/>
              <w:bottom w:type="dxa" w:w="50"/>
              <w:right w:type="dxa" w:w="80"/>
            </w:tcMar>
            <w:vAlign w:val="center"/>
          </w:tcPr>
          <w:p>
            <w:pPr>
              <w:jc w:val="center"/>
            </w:pPr>
            <w:r>
              <w:rPr>
                <w:color w:val="000000"/>
                <w:sz w:val="18"/>
                <w:szCs w:val="18"/>
              </w:rPr>
              <w:t xml:space="preserve">27.3x</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2020</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196</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0.6</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0.15%</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+0.37%</w:t>
            </w:r>
          </w:p>
        </w:tc>
        <w:tc>
          <w:tcPr>
            <w:tcW w:type="dxa" w:w="1200"/>
            <w:shd w:fill="EEF2F7" w:val="clear"/>
            <w:tcMar>
              <w:top w:type="dxa" w:w="50"/>
              <w:left w:type="dxa" w:w="80"/>
              <w:bottom w:type="dxa" w:w="50"/>
              <w:right w:type="dxa" w:w="80"/>
            </w:tcMar>
            <w:vAlign w:val="center"/>
          </w:tcPr>
          <w:p>
            <w:pPr>
              <w:jc w:val="center"/>
            </w:pPr>
            <w:r>
              <w:rPr>
                <w:color w:val="000000"/>
                <w:sz w:val="18"/>
                <w:szCs w:val="18"/>
              </w:rPr>
              <w:t xml:space="preserve">304.82</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33.8x</w:t>
            </w:r>
          </w:p>
        </w:tc>
      </w:tr>
      <w:tr>
        <w:tc>
          <w:tcPr>
            <w:tcW w:type="dxa" w:w="750"/>
            <w:tcMar>
              <w:top w:type="dxa" w:w="50"/>
              <w:left w:type="dxa" w:w="80"/>
              <w:bottom w:type="dxa" w:w="50"/>
              <w:right w:type="dxa" w:w="80"/>
            </w:tcMar>
            <w:vAlign w:val="center"/>
          </w:tcPr>
          <w:p>
            <w:pPr>
              <w:jc w:val="center"/>
            </w:pPr>
            <w:r>
              <w:rPr>
                <w:color w:val="000000"/>
                <w:sz w:val="18"/>
                <w:szCs w:val="18"/>
              </w:rPr>
              <w:t xml:space="preserve">2021</w:t>
            </w:r>
          </w:p>
        </w:tc>
        <w:tc>
          <w:tcPr>
            <w:tcW w:type="dxa" w:w="1050"/>
            <w:tcMar>
              <w:top w:type="dxa" w:w="50"/>
              <w:left w:type="dxa" w:w="80"/>
              <w:bottom w:type="dxa" w:w="50"/>
              <w:right w:type="dxa" w:w="80"/>
            </w:tcMar>
            <w:vAlign w:val="center"/>
          </w:tcPr>
          <w:p>
            <w:pPr>
              <w:jc w:val="center"/>
            </w:pPr>
            <w:r>
              <w:rPr>
                <w:color w:val="000000"/>
                <w:sz w:val="18"/>
                <w:szCs w:val="18"/>
              </w:rPr>
              <w:t xml:space="preserve">496</w:t>
            </w:r>
          </w:p>
        </w:tc>
        <w:tc>
          <w:tcPr>
            <w:tcW w:type="dxa" w:w="1050"/>
            <w:tcMar>
              <w:top w:type="dxa" w:w="50"/>
              <w:left w:type="dxa" w:w="80"/>
              <w:bottom w:type="dxa" w:w="50"/>
              <w:right w:type="dxa" w:w="80"/>
            </w:tcMar>
            <w:vAlign w:val="center"/>
          </w:tcPr>
          <w:p>
            <w:pPr>
              <w:jc w:val="center"/>
            </w:pPr>
            <w:r>
              <w:rPr>
                <w:color w:val="000000"/>
                <w:sz w:val="18"/>
                <w:szCs w:val="18"/>
              </w:rPr>
              <w:t xml:space="preserve">1.4</w:t>
            </w:r>
          </w:p>
        </w:tc>
        <w:tc>
          <w:tcPr>
            <w:tcW w:type="dxa" w:w="1000"/>
            <w:tcMar>
              <w:top w:type="dxa" w:w="50"/>
              <w:left w:type="dxa" w:w="80"/>
              <w:bottom w:type="dxa" w:w="50"/>
              <w:right w:type="dxa" w:w="80"/>
            </w:tcMar>
            <w:vAlign w:val="center"/>
          </w:tcPr>
          <w:p>
            <w:pPr>
              <w:jc w:val="center"/>
            </w:pPr>
            <w:r>
              <w:rPr>
                <w:color w:val="000000"/>
                <w:sz w:val="18"/>
                <w:szCs w:val="18"/>
              </w:rPr>
              <w:t xml:space="preserve">0.31%</w:t>
            </w:r>
          </w:p>
        </w:tc>
        <w:tc>
          <w:tcPr>
            <w:tcW w:type="dxa" w:w="1000"/>
            <w:tcMar>
              <w:top w:type="dxa" w:w="50"/>
              <w:left w:type="dxa" w:w="80"/>
              <w:bottom w:type="dxa" w:w="50"/>
              <w:right w:type="dxa" w:w="80"/>
            </w:tcMar>
            <w:vAlign w:val="center"/>
          </w:tcPr>
          <w:p>
            <w:pPr>
              <w:jc w:val="center"/>
            </w:pPr>
            <w:r>
              <w:rPr>
                <w:color w:val="000000"/>
                <w:sz w:val="18"/>
                <w:szCs w:val="18"/>
              </w:rPr>
              <w:t xml:space="preserve">+0.13%</w:t>
            </w:r>
          </w:p>
        </w:tc>
        <w:tc>
          <w:tcPr>
            <w:tcW w:type="dxa" w:w="1200"/>
            <w:tcMar>
              <w:top w:type="dxa" w:w="50"/>
              <w:left w:type="dxa" w:w="80"/>
              <w:bottom w:type="dxa" w:w="50"/>
              <w:right w:type="dxa" w:w="80"/>
            </w:tcMar>
            <w:vAlign w:val="center"/>
          </w:tcPr>
          <w:p>
            <w:pPr>
              <w:jc w:val="center"/>
            </w:pPr>
            <w:r>
              <w:rPr>
                <w:color w:val="000000"/>
                <w:sz w:val="18"/>
                <w:szCs w:val="18"/>
              </w:rPr>
              <w:t xml:space="preserve">365.24</w:t>
            </w:r>
          </w:p>
        </w:tc>
        <w:tc>
          <w:tcPr>
            <w:tcW w:type="dxa" w:w="1000"/>
            <w:tcMar>
              <w:top w:type="dxa" w:w="50"/>
              <w:left w:type="dxa" w:w="80"/>
              <w:bottom w:type="dxa" w:w="50"/>
              <w:right w:type="dxa" w:w="80"/>
            </w:tcMar>
            <w:vAlign w:val="center"/>
          </w:tcPr>
          <w:p>
            <w:pPr>
              <w:jc w:val="center"/>
            </w:pPr>
            <w:r>
              <w:rPr>
                <w:color w:val="000000"/>
                <w:sz w:val="18"/>
                <w:szCs w:val="18"/>
              </w:rPr>
              <w:t xml:space="preserve">32.4x</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2022</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439</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0.9</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0.20%</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+0.19%</w:t>
            </w:r>
          </w:p>
        </w:tc>
        <w:tc>
          <w:tcPr>
            <w:tcW w:type="dxa" w:w="1200"/>
            <w:shd w:fill="EEF2F7" w:val="clear"/>
            <w:tcMar>
              <w:top w:type="dxa" w:w="50"/>
              <w:left w:type="dxa" w:w="80"/>
              <w:bottom w:type="dxa" w:w="50"/>
              <w:right w:type="dxa" w:w="80"/>
            </w:tcMar>
            <w:vAlign w:val="center"/>
          </w:tcPr>
          <w:p>
            <w:pPr>
              <w:jc w:val="center"/>
            </w:pPr>
            <w:r>
              <w:rPr>
                <w:color w:val="000000"/>
                <w:sz w:val="18"/>
                <w:szCs w:val="18"/>
              </w:rPr>
              <w:t xml:space="preserve">508.69</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38.7x</w:t>
            </w:r>
          </w:p>
        </w:tc>
      </w:tr>
      <w:tr>
        <w:tc>
          <w:tcPr>
            <w:tcW w:type="dxa" w:w="750"/>
            <w:tcMar>
              <w:top w:type="dxa" w:w="50"/>
              <w:left w:type="dxa" w:w="80"/>
              <w:bottom w:type="dxa" w:w="50"/>
              <w:right w:type="dxa" w:w="80"/>
            </w:tcMar>
            <w:vAlign w:val="center"/>
          </w:tcPr>
          <w:p>
            <w:pPr>
              <w:jc w:val="center"/>
            </w:pPr>
            <w:r>
              <w:rPr>
                <w:color w:val="000000"/>
                <w:sz w:val="18"/>
                <w:szCs w:val="18"/>
              </w:rPr>
              <w:t xml:space="preserve">2023</w:t>
            </w:r>
          </w:p>
        </w:tc>
        <w:tc>
          <w:tcPr>
            <w:tcW w:type="dxa" w:w="1050"/>
            <w:tcMar>
              <w:top w:type="dxa" w:w="50"/>
              <w:left w:type="dxa" w:w="80"/>
              <w:bottom w:type="dxa" w:w="50"/>
              <w:right w:type="dxa" w:w="80"/>
            </w:tcMar>
            <w:vAlign w:val="center"/>
          </w:tcPr>
          <w:p>
            <w:pPr>
              <w:jc w:val="center"/>
            </w:pPr>
            <w:r>
              <w:rPr>
                <w:color w:val="000000"/>
                <w:sz w:val="18"/>
                <w:szCs w:val="18"/>
              </w:rPr>
              <w:t xml:space="preserve">676</w:t>
            </w:r>
          </w:p>
        </w:tc>
        <w:tc>
          <w:tcPr>
            <w:tcW w:type="dxa" w:w="1050"/>
            <w:tcMar>
              <w:top w:type="dxa" w:w="50"/>
              <w:left w:type="dxa" w:w="80"/>
              <w:bottom w:type="dxa" w:w="50"/>
              <w:right w:type="dxa" w:w="80"/>
            </w:tcMar>
            <w:vAlign w:val="center"/>
          </w:tcPr>
          <w:p>
            <w:pPr>
              <w:jc w:val="center"/>
            </w:pPr>
            <w:r>
              <w:rPr>
                <w:color w:val="000000"/>
                <w:sz w:val="18"/>
                <w:szCs w:val="18"/>
              </w:rPr>
              <w:t xml:space="preserve">1.3</w:t>
            </w:r>
          </w:p>
        </w:tc>
        <w:tc>
          <w:tcPr>
            <w:tcW w:type="dxa" w:w="1000"/>
            <w:tcMar>
              <w:top w:type="dxa" w:w="50"/>
              <w:left w:type="dxa" w:w="80"/>
              <w:bottom w:type="dxa" w:w="50"/>
              <w:right w:type="dxa" w:w="80"/>
            </w:tcMar>
            <w:vAlign w:val="center"/>
          </w:tcPr>
          <w:p>
            <w:pPr>
              <w:jc w:val="center"/>
            </w:pPr>
            <w:r>
              <w:rPr>
                <w:color w:val="000000"/>
                <w:sz w:val="18"/>
                <w:szCs w:val="18"/>
              </w:rPr>
              <w:t xml:space="preserve">0.30%</w:t>
            </w:r>
          </w:p>
        </w:tc>
        <w:tc>
          <w:tcPr>
            <w:tcW w:type="dxa" w:w="1000"/>
            <w:tcMar>
              <w:top w:type="dxa" w:w="50"/>
              <w:left w:type="dxa" w:w="80"/>
              <w:bottom w:type="dxa" w:w="50"/>
              <w:right w:type="dxa" w:w="80"/>
            </w:tcMar>
            <w:vAlign w:val="center"/>
          </w:tcPr>
          <w:p>
            <w:pPr>
              <w:jc w:val="center"/>
            </w:pPr>
            <w:r>
              <w:rPr>
                <w:color w:val="000000"/>
                <w:sz w:val="18"/>
                <w:szCs w:val="18"/>
              </w:rPr>
              <w:t xml:space="preserve">+0.03%</w:t>
            </w:r>
          </w:p>
        </w:tc>
        <w:tc>
          <w:tcPr>
            <w:tcW w:type="dxa" w:w="1200"/>
            <w:tcMar>
              <w:top w:type="dxa" w:w="50"/>
              <w:left w:type="dxa" w:w="80"/>
              <w:bottom w:type="dxa" w:w="50"/>
              <w:right w:type="dxa" w:w="80"/>
            </w:tcMar>
            <w:vAlign w:val="center"/>
          </w:tcPr>
          <w:p>
            <w:pPr>
              <w:jc w:val="center"/>
            </w:pPr>
            <w:r>
              <w:rPr>
                <w:color w:val="000000"/>
                <w:sz w:val="18"/>
                <w:szCs w:val="18"/>
              </w:rPr>
              <w:t xml:space="preserve">504.10</w:t>
            </w:r>
          </w:p>
        </w:tc>
        <w:tc>
          <w:tcPr>
            <w:tcW w:type="dxa" w:w="1000"/>
            <w:tcMar>
              <w:top w:type="dxa" w:w="50"/>
              <w:left w:type="dxa" w:w="80"/>
              <w:bottom w:type="dxa" w:w="50"/>
              <w:right w:type="dxa" w:w="80"/>
            </w:tcMar>
            <w:vAlign w:val="center"/>
          </w:tcPr>
          <w:p>
            <w:pPr>
              <w:jc w:val="center"/>
            </w:pPr>
            <w:r>
              <w:rPr>
                <w:color w:val="000000"/>
                <w:sz w:val="18"/>
                <w:szCs w:val="18"/>
              </w:rPr>
              <w:t xml:space="preserve">35.6x</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2024</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700</w:t>
            </w:r>
          </w:p>
        </w:tc>
        <w:tc>
          <w:tcPr>
            <w:tcW w:type="dxa" w:w="1050"/>
            <w:shd w:fill="EEF2F7" w:val="clear"/>
            <w:tcMar>
              <w:top w:type="dxa" w:w="50"/>
              <w:left w:type="dxa" w:w="80"/>
              <w:bottom w:type="dxa" w:w="50"/>
              <w:right w:type="dxa" w:w="80"/>
            </w:tcMar>
            <w:vAlign w:val="center"/>
          </w:tcPr>
          <w:p>
            <w:pPr>
              <w:jc w:val="center"/>
            </w:pPr>
            <w:r>
              <w:rPr>
                <w:color w:val="000000"/>
                <w:sz w:val="18"/>
                <w:szCs w:val="18"/>
              </w:rPr>
              <w:t xml:space="preserve">1.0</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0.23%</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+0.08%</w:t>
            </w:r>
          </w:p>
        </w:tc>
        <w:tc>
          <w:tcPr>
            <w:tcW w:type="dxa" w:w="1200"/>
            <w:shd w:fill="EEF2F7" w:val="clear"/>
            <w:tcMar>
              <w:top w:type="dxa" w:w="50"/>
              <w:left w:type="dxa" w:w="80"/>
              <w:bottom w:type="dxa" w:w="50"/>
              <w:right w:type="dxa" w:w="80"/>
            </w:tcMar>
            <w:vAlign w:val="center"/>
          </w:tcPr>
          <w:p>
            <w:pPr>
              <w:jc w:val="center"/>
            </w:pPr>
            <w:r>
              <w:rPr>
                <w:color w:val="000000"/>
                <w:sz w:val="18"/>
                <w:szCs w:val="18"/>
              </w:rPr>
              <w:t xml:space="preserve">697.21</w:t>
            </w:r>
          </w:p>
        </w:tc>
        <w:tc>
          <w:tcPr>
            <w:tcW w:type="dxa" w:w="1000"/>
            <w:shd w:fill="EEF2F7" w:val="clear"/>
            <w:tcMar>
              <w:top w:type="dxa" w:w="50"/>
              <w:left w:type="dxa" w:w="80"/>
              <w:bottom w:type="dxa" w:w="50"/>
              <w:right w:type="dxa" w:w="80"/>
            </w:tcMar>
            <w:vAlign w:val="center"/>
          </w:tcPr>
          <w:p>
            <w:pPr>
              <w:jc w:val="center"/>
            </w:pPr>
            <w:r>
              <w:rPr>
                <w:color w:val="000000"/>
                <w:sz w:val="18"/>
                <w:szCs w:val="18"/>
              </w:rPr>
              <w:t xml:space="preserve">42.1x</w:t>
            </w:r>
          </w:p>
        </w:tc>
      </w:tr>
      <w:tr>
        <w:tc>
          <w:tcPr>
            <w:tcW w:type="dxa" w:w="750"/>
            <w:tcMar>
              <w:top w:type="dxa" w:w="50"/>
              <w:left w:type="dxa" w:w="80"/>
              <w:bottom w:type="dxa" w:w="50"/>
              <w:right w:type="dxa" w:w="80"/>
            </w:tcMar>
            <w:vAlign w:val="center"/>
          </w:tcPr>
          <w:p>
            <w:pPr>
              <w:jc w:val="center"/>
            </w:pPr>
            <w:r>
              <w:rPr>
                <w:color w:val="000000"/>
                <w:sz w:val="18"/>
                <w:szCs w:val="18"/>
              </w:rPr>
              <w:t xml:space="preserve">2025</w:t>
            </w:r>
          </w:p>
        </w:tc>
        <w:tc>
          <w:tcPr>
            <w:tcW w:type="dxa" w:w="1050"/>
            <w:tcMar>
              <w:top w:type="dxa" w:w="50"/>
              <w:left w:type="dxa" w:w="80"/>
              <w:bottom w:type="dxa" w:w="50"/>
              <w:right w:type="dxa" w:w="80"/>
            </w:tcMar>
            <w:vAlign w:val="center"/>
          </w:tcPr>
          <w:p>
            <w:pPr>
              <w:jc w:val="center"/>
            </w:pPr>
            <w:r>
              <w:rPr>
                <w:color w:val="000000"/>
                <w:sz w:val="18"/>
                <w:szCs w:val="18"/>
              </w:rPr>
              <w:t xml:space="preserve">903</w:t>
            </w:r>
          </w:p>
        </w:tc>
        <w:tc>
          <w:tcPr>
            <w:tcW w:type="dxa" w:w="1050"/>
            <w:tcMar>
              <w:top w:type="dxa" w:w="50"/>
              <w:left w:type="dxa" w:w="80"/>
              <w:bottom w:type="dxa" w:w="50"/>
              <w:right w:type="dxa" w:w="80"/>
            </w:tcMar>
            <w:vAlign w:val="center"/>
          </w:tcPr>
          <w:p>
            <w:pPr>
              <w:jc w:val="center"/>
            </w:pPr>
            <w:r>
              <w:rPr>
                <w:color w:val="000000"/>
                <w:sz w:val="18"/>
                <w:szCs w:val="18"/>
              </w:rPr>
              <w:t xml:space="preserve">0.9</w:t>
            </w:r>
          </w:p>
        </w:tc>
        <w:tc>
          <w:tcPr>
            <w:tcW w:type="dxa" w:w="1000"/>
            <w:tcMar>
              <w:top w:type="dxa" w:w="50"/>
              <w:left w:type="dxa" w:w="80"/>
              <w:bottom w:type="dxa" w:w="50"/>
              <w:right w:type="dxa" w:w="80"/>
            </w:tcMar>
            <w:vAlign w:val="center"/>
          </w:tcPr>
          <w:p>
            <w:pPr>
              <w:jc w:val="center"/>
            </w:pPr>
            <w:r>
              <w:rPr>
                <w:color w:val="000000"/>
                <w:sz w:val="18"/>
                <w:szCs w:val="18"/>
              </w:rPr>
              <w:t xml:space="preserve">0.21%</w:t>
            </w:r>
          </w:p>
        </w:tc>
        <w:tc>
          <w:tcPr>
            <w:tcW w:type="dxa" w:w="1000"/>
            <w:tcMar>
              <w:top w:type="dxa" w:w="50"/>
              <w:left w:type="dxa" w:w="80"/>
              <w:bottom w:type="dxa" w:w="50"/>
              <w:right w:type="dxa" w:w="80"/>
            </w:tcMar>
            <w:vAlign w:val="center"/>
          </w:tcPr>
          <w:p>
            <w:pPr>
              <w:jc w:val="center"/>
            </w:pPr>
            <w:r>
              <w:rPr>
                <w:color w:val="000000"/>
                <w:sz w:val="18"/>
                <w:szCs w:val="18"/>
              </w:rPr>
              <w:t xml:space="preserve">+0.03%</w:t>
            </w:r>
          </w:p>
        </w:tc>
        <w:tc>
          <w:tcPr>
            <w:tcW w:type="dxa" w:w="1200"/>
            <w:tcMar>
              <w:top w:type="dxa" w:w="50"/>
              <w:left w:type="dxa" w:w="80"/>
              <w:bottom w:type="dxa" w:w="50"/>
              <w:right w:type="dxa" w:w="80"/>
            </w:tcMar>
            <w:vAlign w:val="center"/>
          </w:tcPr>
          <w:p>
            <w:pPr>
              <w:jc w:val="center"/>
            </w:pPr>
            <w:r>
              <w:rPr>
                <w:color w:val="000000"/>
                <w:sz w:val="18"/>
                <w:szCs w:val="18"/>
              </w:rPr>
              <w:t xml:space="preserve">957.58</w:t>
            </w:r>
          </w:p>
        </w:tc>
        <w:tc>
          <w:tcPr>
            <w:tcW w:type="dxa" w:w="1000"/>
            <w:tcMar>
              <w:top w:type="dxa" w:w="50"/>
              <w:left w:type="dxa" w:w="80"/>
              <w:bottom w:type="dxa" w:w="50"/>
              <w:right w:type="dxa" w:w="80"/>
            </w:tcMar>
            <w:vAlign w:val="center"/>
          </w:tcPr>
          <w:p>
            <w:pPr>
              <w:jc w:val="center"/>
            </w:pPr>
            <w:r>
              <w:rPr>
                <w:color w:val="000000"/>
                <w:sz w:val="18"/>
                <w:szCs w:val="18"/>
              </w:rPr>
              <w:t xml:space="preserve">52.6x</w:t>
            </w:r>
          </w:p>
        </w:tc>
      </w:tr>
      <w:tr>
        <w:tc>
          <w:tcPr>
            <w:tcW w:type="dxa" w:w="750"/>
            <w:shd w:fill="DFEAF4" w:val="clear"/>
            <w:tcMar>
              <w:top w:type="dxa" w:w="50"/>
              <w:left w:type="dxa" w:w="80"/>
              <w:bottom w:type="dxa" w:w="50"/>
              <w:right w:type="dxa" w:w="80"/>
            </w:tcMar>
            <w:vAlign w:val="center"/>
          </w:tcPr>
          <w:p>
            <w:pPr>
              <w:jc w:val="center"/>
            </w:pPr>
            <w:r>
              <w:rPr>
                <w:color w:val="000000"/>
                <w:sz w:val="18"/>
                <w:szCs w:val="18"/>
              </w:rPr>
              <w:t xml:space="preserve">FY15-25</w:t>
            </w:r>
          </w:p>
        </w:tc>
        <w:tc>
          <w:tcPr>
            <w:tcW w:type="dxa" w:w="1050"/>
            <w:shd w:fill="DFEAF4" w:val="clear"/>
            <w:tcMar>
              <w:top w:type="dxa" w:w="50"/>
              <w:left w:type="dxa" w:w="80"/>
              <w:bottom w:type="dxa" w:w="50"/>
              <w:right w:type="dxa" w:w="80"/>
            </w:tcMar>
            <w:vAlign w:val="center"/>
          </w:tcPr>
          <w:p>
            <w:pPr>
              <w:jc w:val="center"/>
            </w:pPr>
            <w:r>
              <w:rPr>
                <w:color w:val="000000"/>
                <w:sz w:val="18"/>
                <w:szCs w:val="18"/>
              </w:rPr>
              <w:t xml:space="preserve">5,421</w:t>
            </w:r>
          </w:p>
        </w:tc>
        <w:tc>
          <w:tcPr>
            <w:tcW w:type="dxa" w:w="1050"/>
            <w:shd w:fill="DFEAF4" w:val="clear"/>
            <w:tcMar>
              <w:top w:type="dxa" w:w="50"/>
              <w:left w:type="dxa" w:w="80"/>
              <w:bottom w:type="dxa" w:w="50"/>
              <w:right w:type="dxa" w:w="80"/>
            </w:tcMar>
            <w:vAlign w:val="center"/>
          </w:tcPr>
          <w:p>
            <w:pPr>
              <w:jc w:val="center"/>
            </w:pPr>
            <w:r>
              <w:rPr>
                <w:color w:val="000000"/>
                <w:sz w:val="18"/>
                <w:szCs w:val="18"/>
              </w:rPr>
              <w:t xml:space="preserve">18.6</w:t>
            </w:r>
          </w:p>
        </w:tc>
        <w:tc>
          <w:tcPr>
            <w:tcW w:type="dxa" w:w="1000"/>
            <w:shd w:fill="DFEAF4" w:val="clear"/>
            <w:tcMar>
              <w:top w:type="dxa" w:w="50"/>
              <w:left w:type="dxa" w:w="80"/>
              <w:bottom w:type="dxa" w:w="50"/>
              <w:right w:type="dxa" w:w="80"/>
            </w:tcMar>
            <w:vAlign w:val="center"/>
          </w:tcPr>
          <w:p>
            <w:pPr>
              <w:jc w:val="center"/>
            </w:pPr>
            <w:r>
              <w:rPr>
                <w:color w:val="000000"/>
                <w:sz w:val="18"/>
                <w:szCs w:val="18"/>
              </w:rPr>
              <w:t xml:space="preserve">-</w:t>
            </w:r>
          </w:p>
        </w:tc>
        <w:tc>
          <w:tcPr>
            <w:tcW w:type="dxa" w:w="1000"/>
            <w:shd w:fill="DFEAF4" w:val="clear"/>
            <w:tcMar>
              <w:top w:type="dxa" w:w="50"/>
              <w:left w:type="dxa" w:w="80"/>
              <w:bottom w:type="dxa" w:w="50"/>
              <w:right w:type="dxa" w:w="80"/>
            </w:tcMar>
            <w:vAlign w:val="center"/>
          </w:tcPr>
          <w:p>
            <w:pPr>
              <w:jc w:val="center"/>
            </w:pPr>
            <w:r>
              <w:rPr>
                <w:color w:val="000000"/>
                <w:sz w:val="18"/>
                <w:szCs w:val="18"/>
              </w:rPr>
              <w:t xml:space="preserve">+1.27%</w:t>
            </w:r>
          </w:p>
        </w:tc>
        <w:tc>
          <w:tcPr>
            <w:tcW w:type="dxa" w:w="1200"/>
            <w:shd w:fill="DFEAF4" w:val="clear"/>
            <w:tcMar>
              <w:top w:type="dxa" w:w="50"/>
              <w:left w:type="dxa" w:w="80"/>
              <w:bottom w:type="dxa" w:w="50"/>
              <w:right w:type="dxa" w:w="80"/>
            </w:tcMar>
            <w:vAlign w:val="center"/>
          </w:tcPr>
          <w:p>
            <w:pPr>
              <w:jc w:val="center"/>
            </w:pPr>
            <w:r>
              <w:rPr>
                <w:color w:val="000000"/>
                <w:sz w:val="18"/>
                <w:szCs w:val="18"/>
              </w:rPr>
              <w:t xml:space="preserve">290.78 dw</w:t>
            </w:r>
          </w:p>
        </w:tc>
        <w:tc>
          <w:tcPr>
            <w:tcW w:type="dxa" w:w="1000"/>
            <w:shd w:fill="DFEAF4" w:val="clear"/>
            <w:tcMar>
              <w:top w:type="dxa" w:w="50"/>
              <w:left w:type="dxa" w:w="80"/>
              <w:bottom w:type="dxa" w:w="50"/>
              <w:right w:type="dxa" w:w="80"/>
            </w:tcMar>
            <w:vAlign w:val="center"/>
          </w:tcPr>
          <w:p>
            <w:pPr>
              <w:jc w:val="center"/>
            </w:pPr>
            <w:r>
              <w:rPr>
                <w:color w:val="000000"/>
                <w:sz w:val="18"/>
                <w:szCs w:val="18"/>
              </w:rPr>
              <w:t xml:space="preserve">35.9x dw</w:t>
            </w:r>
          </w:p>
        </w:tc>
      </w:tr>
    </w:tbl>
    <w:p>
      <w:pPr>
        <w:spacing w:after="140"/>
      </w:pPr>
      <w:r>
        <w:rPr>
          <w:i/>
          <w:iCs/>
          <w:color w:val="666666"/>
          <w:sz w:val="17"/>
          <w:szCs w:val="17"/>
        </w:rPr>
        <w:t xml:space="preserve">Cash from PaymentsForRepurchaseOfCommonStock; shares retired tagged directly in every year. “Net chg” is the change in shares outstanding — note it is POSITIVE in eight of eleven years, meaning Costco issued more shares than it retired more often than not.</w:t>
      </w:r>
    </w:p>
    <w:p>
      <w:pPr>
        <w:spacing w:after="150"/>
      </w:pPr>
      <w:r>
        <w:rPr>
          <w:sz w:val="20"/>
          <w:szCs w:val="20"/>
        </w:rPr>
        <w:t xml:space="preserve">Two things stand out. The multiple paid roughly doubled, from 25.9x in fiscal 2015 to 52.6x in fiscal 2025, tracking Costco's own re-rating. And the dollars spent rose nearly twofold over the period while the shares actually retired fell by nearly three-quarters — a rising share price bought steadily fewer shares per dollar, the same dynamic Apple's program showed in its later years.</w:t>
      </w:r>
    </w:p>
    <w:p>
      <w:pPr>
        <w:pStyle w:val="Heading1"/>
        <w:spacing w:after="140" w:before="340"/>
      </w:pPr>
      <w:r>
        <w:rPr>
          <w:b/>
          <w:bCs/>
          <w:color w:val="1F3864"/>
          <w:sz w:val="25"/>
          <w:szCs w:val="25"/>
        </w:rPr>
        <w:t xml:space="preserve">2 · What The Money Earned</w:t>
      </w:r>
    </w:p>
    <w:p>
      <w:pPr>
        <w:spacing w:after="150"/>
      </w:pPr>
      <w:r>
        <w:rPr>
          <w:sz w:val="20"/>
          <w:szCs w:val="20"/>
        </w:rPr>
        <w:t xml:space="preserve">The immediate return on a repurchase is the earnings yield at the price paid — next year's real earnings per share divided by the real price actually paid. Compared against a real cost of equity, this is the exact test of whether a repurchase generated abnormal earnings growth, with no view on Intrinsic Value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shd w:fill="FDF2D9" w:val="clear"/>
            <w:tcMar>
              <w:top w:type="dxa" w:w="100"/>
              <w:left w:type="dxa" w:w="160"/>
              <w:bottom w:type="dxa" w:w="100"/>
              <w:right w:type="dxa" w:w="160"/>
            </w:tcMar>
          </w:tcPr>
          <w:p>
            <w:r>
              <w:rPr>
                <w:b/>
                <w:bCs/>
                <w:color w:val="6B4E00"/>
                <w:sz w:val="18"/>
                <w:szCs w:val="18"/>
              </w:rPr>
              <w:t xml:space="preserve">COST OF EQUITY IS A PLACEHOLDER: 5.5% real, flat, chosen for illustration — not sourced from an AEG engine valuation run for Costco (none exists yet). Every figure in sections 2, 3 and 11 that depends on it is provisional, not a settled finding, exactly as this caveat is repeated at each use below.</w:t>
            </w:r>
          </w:p>
        </w:tc>
      </w:tr>
    </w:tbl>
    <w:p>
      <w:pPr>
        <w:spacing w:after="150"/>
      </w:pPr>
      <w:r>
        <w:rPr>
          <w:sz w:val="20"/>
          <w:szCs w:val="20"/>
        </w:rPr>
        <w:t xml:space="preserve">Costco's forward real earnings yield on its own repurchases has run from 3.83% in fiscal 2015 down to 2.69% in fiscal 2024 — below the placeholder 5.5% real cost of equity in every single year of the program. Nothing about the business explains that path; the rising price does.</w:t>
      </w:r>
    </w:p>
    <w:p>
      <w:pPr>
        <w:pStyle w:val="Heading1"/>
        <w:spacing w:after="140" w:before="340"/>
      </w:pPr>
      <w:r>
        <w:rPr>
          <w:b/>
          <w:bCs/>
          <w:color w:val="1F3864"/>
          <w:sz w:val="25"/>
          <w:szCs w:val="25"/>
        </w:rPr>
        <w:t xml:space="preserve">3 · The Abnormal Earnings Growth Account</w:t>
      </w:r>
    </w:p>
    <w:p>
      <w:pPr>
        <w:spacing w:after="150"/>
      </w:pPr>
      <w:r>
        <w:rPr>
          <w:sz w:val="20"/>
          <w:szCs w:val="20"/>
        </w:rPr>
        <w:t xml:space="preserve">At the entity level, in total real dollars, abnormal earnings growth is this year's real net income less last year's grossed up at the real cost of equity, with distributions (dividends and repurchases together) added back. This series is share-count invariant and needs no view on how the buyback was funded — it measures the operating business, clean of the buyback. On the placeholder rate, Costco generated an average of $516mn a year of real entity-level abnormal earnings growth, FY2015–2025, rising from about $205mn in the earliest years to over $1 billion in fiscal 2024 and 2025.</w:t>
      </w:r>
    </w:p>
    <w:p>
      <w:pPr>
        <w:spacing w:after="150"/>
      </w:pPr>
      <w:r>
        <w:rPr>
          <w:sz w:val="20"/>
          <w:szCs w:val="20"/>
        </w:rPr>
        <w:t xml:space="preserve">Per continuing share, the story splits into an entry effect (felt immediately, objective, needs only the price actually paid, the earnings actually acquired, and a stated cost of equity) and a continuing effect (the retired shares' claim on whatever abnormal earnings growth the business generates afterward).</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1350"/>
        <w:gridCol w:w="1150"/>
        <w:gridCol w:w="1150"/>
        <w:gridCol w:w="1450"/>
        <w:gridCol w:w="1150"/>
        <w:gridCol w:w="1150"/>
      </w:tblGrid>
      <w:tr>
        <w:trPr>
          <w:tblHeader/>
        </w:trPr>
        <w:tc>
          <w:tcPr>
            <w:tcW w:type="dxa" w:w="700"/>
            <w:shd w:fill="1F3864" w:val="clear"/>
            <w:tcMar>
              <w:top w:type="dxa" w:w="50"/>
              <w:left w:type="dxa" w:w="80"/>
              <w:bottom w:type="dxa" w:w="50"/>
              <w:right w:type="dxa" w:w="80"/>
            </w:tcMar>
            <w:vAlign w:val="center"/>
          </w:tcPr>
          <w:p>
            <w:pPr>
              <w:jc w:val="center"/>
            </w:pPr>
            <w:r>
              <w:rPr>
                <w:b/>
                <w:bCs/>
                <w:color w:val="FFFFFF"/>
                <w:sz w:val="16"/>
                <w:szCs w:val="16"/>
              </w:rPr>
              <w:t xml:space="preserve">FY</w:t>
            </w:r>
          </w:p>
        </w:tc>
        <w:tc>
          <w:tcPr>
            <w:tcW w:type="dxa" w:w="1350"/>
            <w:shd w:fill="1F3864" w:val="clear"/>
            <w:tcMar>
              <w:top w:type="dxa" w:w="50"/>
              <w:left w:type="dxa" w:w="80"/>
              <w:bottom w:type="dxa" w:w="50"/>
              <w:right w:type="dxa" w:w="80"/>
            </w:tcMar>
            <w:vAlign w:val="center"/>
          </w:tcPr>
          <w:p>
            <w:pPr>
              <w:jc w:val="center"/>
            </w:pPr>
            <w:r>
              <w:rPr>
                <w:b/>
                <w:bCs/>
                <w:color w:val="FFFFFF"/>
                <w:sz w:val="16"/>
                <w:szCs w:val="16"/>
              </w:rPr>
              <w:t xml:space="preserve">Real px paid</w:t>
            </w:r>
          </w:p>
        </w:tc>
        <w:tc>
          <w:tcPr>
            <w:tcW w:type="dxa" w:w="1350"/>
            <w:shd w:fill="1F3864" w:val="clear"/>
            <w:tcMar>
              <w:top w:type="dxa" w:w="50"/>
              <w:left w:type="dxa" w:w="80"/>
              <w:bottom w:type="dxa" w:w="50"/>
              <w:right w:type="dxa" w:w="80"/>
            </w:tcMar>
            <w:vAlign w:val="center"/>
          </w:tcPr>
          <w:p>
            <w:pPr>
              <w:jc w:val="center"/>
            </w:pPr>
            <w:r>
              <w:rPr>
                <w:b/>
                <w:bCs/>
                <w:color w:val="FFFFFF"/>
                <w:sz w:val="16"/>
                <w:szCs w:val="16"/>
              </w:rPr>
              <w:t xml:space="preserve">Real EPS(t+1)</w:t>
            </w:r>
          </w:p>
        </w:tc>
        <w:tc>
          <w:tcPr>
            <w:tcW w:type="dxa" w:w="1150"/>
            <w:shd w:fill="1F3864" w:val="clear"/>
            <w:tcMar>
              <w:top w:type="dxa" w:w="50"/>
              <w:left w:type="dxa" w:w="80"/>
              <w:bottom w:type="dxa" w:w="50"/>
              <w:right w:type="dxa" w:w="80"/>
            </w:tcMar>
            <w:vAlign w:val="center"/>
          </w:tcPr>
          <w:p>
            <w:pPr>
              <w:jc w:val="center"/>
            </w:pPr>
            <w:r>
              <w:rPr>
                <w:b/>
                <w:bCs/>
                <w:color w:val="FFFFFF"/>
                <w:sz w:val="16"/>
                <w:szCs w:val="16"/>
              </w:rPr>
              <w:t xml:space="preserve">Fwd yield</w:t>
            </w:r>
          </w:p>
        </w:tc>
        <w:tc>
          <w:tcPr>
            <w:tcW w:type="dxa" w:w="1150"/>
            <w:shd w:fill="1F3864" w:val="clear"/>
            <w:tcMar>
              <w:top w:type="dxa" w:w="50"/>
              <w:left w:type="dxa" w:w="80"/>
              <w:bottom w:type="dxa" w:w="50"/>
              <w:right w:type="dxa" w:w="80"/>
            </w:tcMar>
            <w:vAlign w:val="center"/>
          </w:tcPr>
          <w:p>
            <w:pPr>
              <w:jc w:val="center"/>
            </w:pPr>
            <w:r>
              <w:rPr>
                <w:b/>
                <w:bCs/>
                <w:color w:val="FFFFFF"/>
                <w:sz w:val="16"/>
                <w:szCs w:val="16"/>
              </w:rPr>
              <w:t xml:space="preserve">Entry/sh</w:t>
            </w:r>
          </w:p>
        </w:tc>
        <w:tc>
          <w:tcPr>
            <w:tcW w:type="dxa" w:w="1450"/>
            <w:shd w:fill="1F3864" w:val="clear"/>
            <w:tcMar>
              <w:top w:type="dxa" w:w="50"/>
              <w:left w:type="dxa" w:w="80"/>
              <w:bottom w:type="dxa" w:w="50"/>
              <w:right w:type="dxa" w:w="80"/>
            </w:tcMar>
            <w:vAlign w:val="center"/>
          </w:tcPr>
          <w:p>
            <w:pPr>
              <w:jc w:val="center"/>
            </w:pPr>
            <w:r>
              <w:rPr>
                <w:b/>
                <w:bCs/>
                <w:color w:val="FFFFFF"/>
                <w:sz w:val="16"/>
                <w:szCs w:val="16"/>
              </w:rPr>
              <w:t xml:space="preserve">Earned since/sh</w:t>
            </w:r>
          </w:p>
        </w:tc>
        <w:tc>
          <w:tcPr>
            <w:tcW w:type="dxa" w:w="1150"/>
            <w:shd w:fill="1F3864" w:val="clear"/>
            <w:tcMar>
              <w:top w:type="dxa" w:w="50"/>
              <w:left w:type="dxa" w:w="80"/>
              <w:bottom w:type="dxa" w:w="50"/>
              <w:right w:type="dxa" w:w="80"/>
            </w:tcMar>
            <w:vAlign w:val="center"/>
          </w:tcPr>
          <w:p>
            <w:pPr>
              <w:jc w:val="center"/>
            </w:pPr>
            <w:r>
              <w:rPr>
                <w:b/>
                <w:bCs/>
                <w:color w:val="FFFFFF"/>
                <w:sz w:val="16"/>
                <w:szCs w:val="16"/>
              </w:rPr>
              <w:t xml:space="preserve">Total/sh</w:t>
            </w:r>
          </w:p>
        </w:tc>
        <w:tc>
          <w:tcPr>
            <w:tcW w:type="dxa" w:w="1150"/>
            <w:shd w:fill="1F3864" w:val="clear"/>
            <w:tcMar>
              <w:top w:type="dxa" w:w="50"/>
              <w:left w:type="dxa" w:w="80"/>
              <w:bottom w:type="dxa" w:w="50"/>
              <w:right w:type="dxa" w:w="80"/>
            </w:tcMar>
            <w:vAlign w:val="center"/>
          </w:tcPr>
          <w:p>
            <w:pPr>
              <w:jc w:val="center"/>
            </w:pPr>
            <w:r>
              <w:rPr>
                <w:b/>
                <w:bCs/>
                <w:color w:val="FFFFFF"/>
                <w:sz w:val="16"/>
                <w:szCs w:val="16"/>
              </w:rPr>
              <w:t xml:space="preserve">Still owed/sh</w:t>
            </w:r>
          </w:p>
        </w:tc>
      </w:tr>
      <w:tr>
        <w:tc>
          <w:tcPr>
            <w:tcW w:type="dxa" w:w="700"/>
            <w:tcMar>
              <w:top w:type="dxa" w:w="50"/>
              <w:left w:type="dxa" w:w="80"/>
              <w:bottom w:type="dxa" w:w="50"/>
              <w:right w:type="dxa" w:w="80"/>
            </w:tcMar>
            <w:vAlign w:val="center"/>
          </w:tcPr>
          <w:p>
            <w:pPr>
              <w:jc w:val="center"/>
            </w:pPr>
            <w:r>
              <w:rPr>
                <w:color w:val="000000"/>
                <w:sz w:val="18"/>
                <w:szCs w:val="18"/>
              </w:rPr>
              <w:t xml:space="preserve">2015</w:t>
            </w:r>
          </w:p>
        </w:tc>
        <w:tc>
          <w:tcPr>
            <w:tcW w:type="dxa" w:w="1350"/>
            <w:tcMar>
              <w:top w:type="dxa" w:w="50"/>
              <w:left w:type="dxa" w:w="80"/>
              <w:bottom w:type="dxa" w:w="50"/>
              <w:right w:type="dxa" w:w="80"/>
            </w:tcMar>
            <w:vAlign w:val="center"/>
          </w:tcPr>
          <w:p>
            <w:pPr>
              <w:jc w:val="center"/>
            </w:pPr>
            <w:r>
              <w:rPr>
                <w:color w:val="000000"/>
                <w:sz w:val="18"/>
                <w:szCs w:val="18"/>
              </w:rPr>
              <w:t xml:space="preserve">98.32</w:t>
            </w:r>
          </w:p>
        </w:tc>
        <w:tc>
          <w:tcPr>
            <w:tcW w:type="dxa" w:w="1350"/>
            <w:tcMar>
              <w:top w:type="dxa" w:w="50"/>
              <w:left w:type="dxa" w:w="80"/>
              <w:bottom w:type="dxa" w:w="50"/>
              <w:right w:type="dxa" w:w="80"/>
            </w:tcMar>
            <w:vAlign w:val="center"/>
          </w:tcPr>
          <w:p>
            <w:pPr>
              <w:jc w:val="center"/>
            </w:pPr>
            <w:r>
              <w:rPr>
                <w:color w:val="000000"/>
                <w:sz w:val="18"/>
                <w:szCs w:val="18"/>
              </w:rPr>
              <w:t xml:space="preserve">3.77</w:t>
            </w:r>
          </w:p>
        </w:tc>
        <w:tc>
          <w:tcPr>
            <w:tcW w:type="dxa" w:w="1150"/>
            <w:tcMar>
              <w:top w:type="dxa" w:w="50"/>
              <w:left w:type="dxa" w:w="80"/>
              <w:bottom w:type="dxa" w:w="50"/>
              <w:right w:type="dxa" w:w="80"/>
            </w:tcMar>
            <w:vAlign w:val="center"/>
          </w:tcPr>
          <w:p>
            <w:pPr>
              <w:jc w:val="center"/>
            </w:pPr>
            <w:r>
              <w:rPr>
                <w:color w:val="000000"/>
                <w:sz w:val="18"/>
                <w:szCs w:val="18"/>
              </w:rPr>
              <w:t xml:space="preserve">3.83%</w:t>
            </w:r>
          </w:p>
        </w:tc>
        <w:tc>
          <w:tcPr>
            <w:tcW w:type="dxa" w:w="1150"/>
            <w:tcMar>
              <w:top w:type="dxa" w:w="50"/>
              <w:left w:type="dxa" w:w="80"/>
              <w:bottom w:type="dxa" w:w="50"/>
              <w:right w:type="dxa" w:w="80"/>
            </w:tcMar>
            <w:vAlign w:val="center"/>
          </w:tcPr>
          <w:p>
            <w:pPr>
              <w:jc w:val="center"/>
            </w:pPr>
            <w:r>
              <w:rPr>
                <w:b/>
                <w:bCs/>
                <w:color w:val="B02418"/>
                <w:sz w:val="18"/>
                <w:szCs w:val="18"/>
              </w:rPr>
              <w:t xml:space="preserve">-1.64</w:t>
            </w:r>
          </w:p>
        </w:tc>
        <w:tc>
          <w:tcPr>
            <w:tcW w:type="dxa" w:w="1450"/>
            <w:tcMar>
              <w:top w:type="dxa" w:w="50"/>
              <w:left w:type="dxa" w:w="80"/>
              <w:bottom w:type="dxa" w:w="50"/>
              <w:right w:type="dxa" w:w="80"/>
            </w:tcMar>
            <w:vAlign w:val="center"/>
          </w:tcPr>
          <w:p>
            <w:pPr>
              <w:jc w:val="center"/>
            </w:pPr>
            <w:r>
              <w:rPr>
                <w:color w:val="0F7A52"/>
                <w:sz w:val="18"/>
                <w:szCs w:val="18"/>
              </w:rPr>
              <w:t xml:space="preserve">+12.27</w:t>
            </w:r>
          </w:p>
        </w:tc>
        <w:tc>
          <w:tcPr>
            <w:tcW w:type="dxa" w:w="1150"/>
            <w:tcMar>
              <w:top w:type="dxa" w:w="50"/>
              <w:left w:type="dxa" w:w="80"/>
              <w:bottom w:type="dxa" w:w="50"/>
              <w:right w:type="dxa" w:w="80"/>
            </w:tcMar>
            <w:vAlign w:val="center"/>
          </w:tcPr>
          <w:p>
            <w:pPr>
              <w:jc w:val="center"/>
            </w:pPr>
            <w:r>
              <w:rPr>
                <w:b/>
                <w:bCs/>
                <w:color w:val="0F7A52"/>
                <w:sz w:val="18"/>
                <w:szCs w:val="18"/>
              </w:rPr>
              <w:t xml:space="preserve">+10.63</w:t>
            </w:r>
          </w:p>
        </w:tc>
        <w:tc>
          <w:tcPr>
            <w:tcW w:type="dxa" w:w="1150"/>
            <w:tcMar>
              <w:top w:type="dxa" w:w="50"/>
              <w:left w:type="dxa" w:w="80"/>
              <w:bottom w:type="dxa" w:w="50"/>
              <w:right w:type="dxa" w:w="80"/>
            </w:tcMar>
            <w:vAlign w:val="center"/>
          </w:tcPr>
          <w:p>
            <w:pPr>
              <w:jc w:val="center"/>
            </w:pPr>
            <w:r>
              <w:rPr>
                <w:color w:val="000000"/>
                <w:sz w:val="18"/>
                <w:szCs w:val="18"/>
              </w:rPr>
              <w:t xml:space="preserve">—</w:t>
            </w:r>
          </w:p>
        </w:tc>
      </w:tr>
      <w:tr>
        <w:tc>
          <w:tcPr>
            <w:tcW w:type="dxa" w:w="700"/>
            <w:shd w:fill="EEF2F7" w:val="clear"/>
            <w:tcMar>
              <w:top w:type="dxa" w:w="50"/>
              <w:left w:type="dxa" w:w="80"/>
              <w:bottom w:type="dxa" w:w="50"/>
              <w:right w:type="dxa" w:w="80"/>
            </w:tcMar>
            <w:vAlign w:val="center"/>
          </w:tcPr>
          <w:p>
            <w:pPr>
              <w:jc w:val="center"/>
            </w:pPr>
            <w:r>
              <w:rPr>
                <w:color w:val="000000"/>
                <w:sz w:val="18"/>
                <w:szCs w:val="18"/>
              </w:rPr>
              <w:t xml:space="preserve">2016</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107.95</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4.35</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4.03%</w:t>
            </w:r>
          </w:p>
        </w:tc>
        <w:tc>
          <w:tcPr>
            <w:tcW w:type="dxa" w:w="1150"/>
            <w:shd w:fill="EEF2F7" w:val="clear"/>
            <w:tcMar>
              <w:top w:type="dxa" w:w="50"/>
              <w:left w:type="dxa" w:w="80"/>
              <w:bottom w:type="dxa" w:w="50"/>
              <w:right w:type="dxa" w:w="80"/>
            </w:tcMar>
            <w:vAlign w:val="center"/>
          </w:tcPr>
          <w:p>
            <w:pPr>
              <w:jc w:val="center"/>
            </w:pPr>
            <w:r>
              <w:rPr>
                <w:b/>
                <w:bCs/>
                <w:color w:val="B02418"/>
                <w:sz w:val="18"/>
                <w:szCs w:val="18"/>
              </w:rPr>
              <w:t xml:space="preserve">-1.58</w:t>
            </w:r>
          </w:p>
        </w:tc>
        <w:tc>
          <w:tcPr>
            <w:tcW w:type="dxa" w:w="1450"/>
            <w:shd w:fill="EEF2F7" w:val="clear"/>
            <w:tcMar>
              <w:top w:type="dxa" w:w="50"/>
              <w:left w:type="dxa" w:w="80"/>
              <w:bottom w:type="dxa" w:w="50"/>
              <w:right w:type="dxa" w:w="80"/>
            </w:tcMar>
            <w:vAlign w:val="center"/>
          </w:tcPr>
          <w:p>
            <w:pPr>
              <w:jc w:val="center"/>
            </w:pPr>
            <w:r>
              <w:rPr>
                <w:color w:val="0F7A52"/>
                <w:sz w:val="18"/>
                <w:szCs w:val="18"/>
              </w:rPr>
              <w:t xml:space="preserve">+11.79</w:t>
            </w:r>
          </w:p>
        </w:tc>
        <w:tc>
          <w:tcPr>
            <w:tcW w:type="dxa" w:w="1150"/>
            <w:shd w:fill="EEF2F7" w:val="clear"/>
            <w:tcMar>
              <w:top w:type="dxa" w:w="50"/>
              <w:left w:type="dxa" w:w="80"/>
              <w:bottom w:type="dxa" w:w="50"/>
              <w:right w:type="dxa" w:w="80"/>
            </w:tcMar>
            <w:vAlign w:val="center"/>
          </w:tcPr>
          <w:p>
            <w:pPr>
              <w:jc w:val="center"/>
            </w:pPr>
            <w:r>
              <w:rPr>
                <w:b/>
                <w:bCs/>
                <w:color w:val="0F7A52"/>
                <w:sz w:val="18"/>
                <w:szCs w:val="18"/>
              </w:rPr>
              <w:t xml:space="preserve">+10.20</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w:t>
            </w:r>
          </w:p>
        </w:tc>
      </w:tr>
      <w:tr>
        <w:tc>
          <w:tcPr>
            <w:tcW w:type="dxa" w:w="700"/>
            <w:tcMar>
              <w:top w:type="dxa" w:w="50"/>
              <w:left w:type="dxa" w:w="80"/>
              <w:bottom w:type="dxa" w:w="50"/>
              <w:right w:type="dxa" w:w="80"/>
            </w:tcMar>
            <w:vAlign w:val="center"/>
          </w:tcPr>
          <w:p>
            <w:pPr>
              <w:jc w:val="center"/>
            </w:pPr>
            <w:r>
              <w:rPr>
                <w:color w:val="000000"/>
                <w:sz w:val="18"/>
                <w:szCs w:val="18"/>
              </w:rPr>
              <w:t xml:space="preserve">2017</w:t>
            </w:r>
          </w:p>
        </w:tc>
        <w:tc>
          <w:tcPr>
            <w:tcW w:type="dxa" w:w="1350"/>
            <w:tcMar>
              <w:top w:type="dxa" w:w="50"/>
              <w:left w:type="dxa" w:w="80"/>
              <w:bottom w:type="dxa" w:w="50"/>
              <w:right w:type="dxa" w:w="80"/>
            </w:tcMar>
            <w:vAlign w:val="center"/>
          </w:tcPr>
          <w:p>
            <w:pPr>
              <w:jc w:val="center"/>
            </w:pPr>
            <w:r>
              <w:rPr>
                <w:color w:val="000000"/>
                <w:sz w:val="18"/>
                <w:szCs w:val="18"/>
              </w:rPr>
              <w:t xml:space="preserve">112.04</w:t>
            </w:r>
          </w:p>
        </w:tc>
        <w:tc>
          <w:tcPr>
            <w:tcW w:type="dxa" w:w="1350"/>
            <w:tcMar>
              <w:top w:type="dxa" w:w="50"/>
              <w:left w:type="dxa" w:w="80"/>
              <w:bottom w:type="dxa" w:w="50"/>
              <w:right w:type="dxa" w:w="80"/>
            </w:tcMar>
            <w:vAlign w:val="center"/>
          </w:tcPr>
          <w:p>
            <w:pPr>
              <w:jc w:val="center"/>
            </w:pPr>
            <w:r>
              <w:rPr>
                <w:color w:val="000000"/>
                <w:sz w:val="18"/>
                <w:szCs w:val="18"/>
              </w:rPr>
              <w:t xml:space="preserve">5.19</w:t>
            </w:r>
          </w:p>
        </w:tc>
        <w:tc>
          <w:tcPr>
            <w:tcW w:type="dxa" w:w="1150"/>
            <w:tcMar>
              <w:top w:type="dxa" w:w="50"/>
              <w:left w:type="dxa" w:w="80"/>
              <w:bottom w:type="dxa" w:w="50"/>
              <w:right w:type="dxa" w:w="80"/>
            </w:tcMar>
            <w:vAlign w:val="center"/>
          </w:tcPr>
          <w:p>
            <w:pPr>
              <w:jc w:val="center"/>
            </w:pPr>
            <w:r>
              <w:rPr>
                <w:color w:val="000000"/>
                <w:sz w:val="18"/>
                <w:szCs w:val="18"/>
              </w:rPr>
              <w:t xml:space="preserve">4.63%</w:t>
            </w:r>
          </w:p>
        </w:tc>
        <w:tc>
          <w:tcPr>
            <w:tcW w:type="dxa" w:w="1150"/>
            <w:tcMar>
              <w:top w:type="dxa" w:w="50"/>
              <w:left w:type="dxa" w:w="80"/>
              <w:bottom w:type="dxa" w:w="50"/>
              <w:right w:type="dxa" w:w="80"/>
            </w:tcMar>
            <w:vAlign w:val="center"/>
          </w:tcPr>
          <w:p>
            <w:pPr>
              <w:jc w:val="center"/>
            </w:pPr>
            <w:r>
              <w:rPr>
                <w:b/>
                <w:bCs/>
                <w:color w:val="B02418"/>
                <w:sz w:val="18"/>
                <w:szCs w:val="18"/>
              </w:rPr>
              <w:t xml:space="preserve">-0.98</w:t>
            </w:r>
          </w:p>
        </w:tc>
        <w:tc>
          <w:tcPr>
            <w:tcW w:type="dxa" w:w="1450"/>
            <w:tcMar>
              <w:top w:type="dxa" w:w="50"/>
              <w:left w:type="dxa" w:w="80"/>
              <w:bottom w:type="dxa" w:w="50"/>
              <w:right w:type="dxa" w:w="80"/>
            </w:tcMar>
            <w:vAlign w:val="center"/>
          </w:tcPr>
          <w:p>
            <w:pPr>
              <w:jc w:val="center"/>
            </w:pPr>
            <w:r>
              <w:rPr>
                <w:color w:val="0F7A52"/>
                <w:sz w:val="18"/>
                <w:szCs w:val="18"/>
              </w:rPr>
              <w:t xml:space="preserve">+10.79</w:t>
            </w:r>
          </w:p>
        </w:tc>
        <w:tc>
          <w:tcPr>
            <w:tcW w:type="dxa" w:w="1150"/>
            <w:tcMar>
              <w:top w:type="dxa" w:w="50"/>
              <w:left w:type="dxa" w:w="80"/>
              <w:bottom w:type="dxa" w:w="50"/>
              <w:right w:type="dxa" w:w="80"/>
            </w:tcMar>
            <w:vAlign w:val="center"/>
          </w:tcPr>
          <w:p>
            <w:pPr>
              <w:jc w:val="center"/>
            </w:pPr>
            <w:r>
              <w:rPr>
                <w:b/>
                <w:bCs/>
                <w:color w:val="0F7A52"/>
                <w:sz w:val="18"/>
                <w:szCs w:val="18"/>
              </w:rPr>
              <w:t xml:space="preserve">+9.81</w:t>
            </w:r>
          </w:p>
        </w:tc>
        <w:tc>
          <w:tcPr>
            <w:tcW w:type="dxa" w:w="1150"/>
            <w:tcMar>
              <w:top w:type="dxa" w:w="50"/>
              <w:left w:type="dxa" w:w="80"/>
              <w:bottom w:type="dxa" w:w="50"/>
              <w:right w:type="dxa" w:w="80"/>
            </w:tcMar>
            <w:vAlign w:val="center"/>
          </w:tcPr>
          <w:p>
            <w:pPr>
              <w:jc w:val="center"/>
            </w:pPr>
            <w:r>
              <w:rPr>
                <w:color w:val="000000"/>
                <w:sz w:val="18"/>
                <w:szCs w:val="18"/>
              </w:rPr>
              <w:t xml:space="preserve">—</w:t>
            </w:r>
          </w:p>
        </w:tc>
      </w:tr>
      <w:tr>
        <w:tc>
          <w:tcPr>
            <w:tcW w:type="dxa" w:w="700"/>
            <w:shd w:fill="EEF2F7" w:val="clear"/>
            <w:tcMar>
              <w:top w:type="dxa" w:w="50"/>
              <w:left w:type="dxa" w:w="80"/>
              <w:bottom w:type="dxa" w:w="50"/>
              <w:right w:type="dxa" w:w="80"/>
            </w:tcMar>
            <w:vAlign w:val="center"/>
          </w:tcPr>
          <w:p>
            <w:pPr>
              <w:jc w:val="center"/>
            </w:pPr>
            <w:r>
              <w:rPr>
                <w:color w:val="000000"/>
                <w:sz w:val="18"/>
                <w:szCs w:val="18"/>
              </w:rPr>
              <w:t xml:space="preserve">2018</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136.62</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6.19</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4.53%</w:t>
            </w:r>
          </w:p>
        </w:tc>
        <w:tc>
          <w:tcPr>
            <w:tcW w:type="dxa" w:w="1150"/>
            <w:shd w:fill="EEF2F7" w:val="clear"/>
            <w:tcMar>
              <w:top w:type="dxa" w:w="50"/>
              <w:left w:type="dxa" w:w="80"/>
              <w:bottom w:type="dxa" w:w="50"/>
              <w:right w:type="dxa" w:w="80"/>
            </w:tcMar>
            <w:vAlign w:val="center"/>
          </w:tcPr>
          <w:p>
            <w:pPr>
              <w:jc w:val="center"/>
            </w:pPr>
            <w:r>
              <w:rPr>
                <w:b/>
                <w:bCs/>
                <w:color w:val="B02418"/>
                <w:sz w:val="18"/>
                <w:szCs w:val="18"/>
              </w:rPr>
              <w:t xml:space="preserve">-1.32</w:t>
            </w:r>
          </w:p>
        </w:tc>
        <w:tc>
          <w:tcPr>
            <w:tcW w:type="dxa" w:w="1450"/>
            <w:shd w:fill="EEF2F7" w:val="clear"/>
            <w:tcMar>
              <w:top w:type="dxa" w:w="50"/>
              <w:left w:type="dxa" w:w="80"/>
              <w:bottom w:type="dxa" w:w="50"/>
              <w:right w:type="dxa" w:w="80"/>
            </w:tcMar>
            <w:vAlign w:val="center"/>
          </w:tcPr>
          <w:p>
            <w:pPr>
              <w:jc w:val="center"/>
            </w:pPr>
            <w:r>
              <w:rPr>
                <w:color w:val="0F7A52"/>
                <w:sz w:val="18"/>
                <w:szCs w:val="18"/>
              </w:rPr>
              <w:t xml:space="preserve">+9.97</w:t>
            </w:r>
          </w:p>
        </w:tc>
        <w:tc>
          <w:tcPr>
            <w:tcW w:type="dxa" w:w="1150"/>
            <w:shd w:fill="EEF2F7" w:val="clear"/>
            <w:tcMar>
              <w:top w:type="dxa" w:w="50"/>
              <w:left w:type="dxa" w:w="80"/>
              <w:bottom w:type="dxa" w:w="50"/>
              <w:right w:type="dxa" w:w="80"/>
            </w:tcMar>
            <w:vAlign w:val="center"/>
          </w:tcPr>
          <w:p>
            <w:pPr>
              <w:jc w:val="center"/>
            </w:pPr>
            <w:r>
              <w:rPr>
                <w:b/>
                <w:bCs/>
                <w:color w:val="0F7A52"/>
                <w:sz w:val="18"/>
                <w:szCs w:val="18"/>
              </w:rPr>
              <w:t xml:space="preserve">+8.64</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w:t>
            </w:r>
          </w:p>
        </w:tc>
      </w:tr>
      <w:tr>
        <w:tc>
          <w:tcPr>
            <w:tcW w:type="dxa" w:w="700"/>
            <w:tcMar>
              <w:top w:type="dxa" w:w="50"/>
              <w:left w:type="dxa" w:w="80"/>
              <w:bottom w:type="dxa" w:w="50"/>
              <w:right w:type="dxa" w:w="80"/>
            </w:tcMar>
            <w:vAlign w:val="center"/>
          </w:tcPr>
          <w:p>
            <w:pPr>
              <w:jc w:val="center"/>
            </w:pPr>
            <w:r>
              <w:rPr>
                <w:color w:val="000000"/>
                <w:sz w:val="18"/>
                <w:szCs w:val="18"/>
              </w:rPr>
              <w:t xml:space="preserve">2019</w:t>
            </w:r>
          </w:p>
        </w:tc>
        <w:tc>
          <w:tcPr>
            <w:tcW w:type="dxa" w:w="1350"/>
            <w:tcMar>
              <w:top w:type="dxa" w:w="50"/>
              <w:left w:type="dxa" w:w="80"/>
              <w:bottom w:type="dxa" w:w="50"/>
              <w:right w:type="dxa" w:w="80"/>
            </w:tcMar>
            <w:vAlign w:val="center"/>
          </w:tcPr>
          <w:p>
            <w:pPr>
              <w:jc w:val="center"/>
            </w:pPr>
            <w:r>
              <w:rPr>
                <w:color w:val="000000"/>
                <w:sz w:val="18"/>
                <w:szCs w:val="18"/>
              </w:rPr>
              <w:t xml:space="preserve">168.71</w:t>
            </w:r>
          </w:p>
        </w:tc>
        <w:tc>
          <w:tcPr>
            <w:tcW w:type="dxa" w:w="1350"/>
            <w:tcMar>
              <w:top w:type="dxa" w:w="50"/>
              <w:left w:type="dxa" w:w="80"/>
              <w:bottom w:type="dxa" w:w="50"/>
              <w:right w:type="dxa" w:w="80"/>
            </w:tcMar>
            <w:vAlign w:val="center"/>
          </w:tcPr>
          <w:p>
            <w:pPr>
              <w:jc w:val="center"/>
            </w:pPr>
            <w:r>
              <w:rPr>
                <w:color w:val="000000"/>
                <w:sz w:val="18"/>
                <w:szCs w:val="18"/>
              </w:rPr>
              <w:t xml:space="preserve">6.88</w:t>
            </w:r>
          </w:p>
        </w:tc>
        <w:tc>
          <w:tcPr>
            <w:tcW w:type="dxa" w:w="1150"/>
            <w:tcMar>
              <w:top w:type="dxa" w:w="50"/>
              <w:left w:type="dxa" w:w="80"/>
              <w:bottom w:type="dxa" w:w="50"/>
              <w:right w:type="dxa" w:w="80"/>
            </w:tcMar>
            <w:vAlign w:val="center"/>
          </w:tcPr>
          <w:p>
            <w:pPr>
              <w:jc w:val="center"/>
            </w:pPr>
            <w:r>
              <w:rPr>
                <w:color w:val="000000"/>
                <w:sz w:val="18"/>
                <w:szCs w:val="18"/>
              </w:rPr>
              <w:t xml:space="preserve">4.08%</w:t>
            </w:r>
          </w:p>
        </w:tc>
        <w:tc>
          <w:tcPr>
            <w:tcW w:type="dxa" w:w="1150"/>
            <w:tcMar>
              <w:top w:type="dxa" w:w="50"/>
              <w:left w:type="dxa" w:w="80"/>
              <w:bottom w:type="dxa" w:w="50"/>
              <w:right w:type="dxa" w:w="80"/>
            </w:tcMar>
            <w:vAlign w:val="center"/>
          </w:tcPr>
          <w:p>
            <w:pPr>
              <w:jc w:val="center"/>
            </w:pPr>
            <w:r>
              <w:rPr>
                <w:b/>
                <w:bCs/>
                <w:color w:val="B02418"/>
                <w:sz w:val="18"/>
                <w:szCs w:val="18"/>
              </w:rPr>
              <w:t xml:space="preserve">-2.40</w:t>
            </w:r>
          </w:p>
        </w:tc>
        <w:tc>
          <w:tcPr>
            <w:tcW w:type="dxa" w:w="1450"/>
            <w:tcMar>
              <w:top w:type="dxa" w:w="50"/>
              <w:left w:type="dxa" w:w="80"/>
              <w:bottom w:type="dxa" w:w="50"/>
              <w:right w:type="dxa" w:w="80"/>
            </w:tcMar>
            <w:vAlign w:val="center"/>
          </w:tcPr>
          <w:p>
            <w:pPr>
              <w:jc w:val="center"/>
            </w:pPr>
            <w:r>
              <w:rPr>
                <w:color w:val="0F7A52"/>
                <w:sz w:val="18"/>
                <w:szCs w:val="18"/>
              </w:rPr>
              <w:t xml:space="preserve">+9.49</w:t>
            </w:r>
          </w:p>
        </w:tc>
        <w:tc>
          <w:tcPr>
            <w:tcW w:type="dxa" w:w="1150"/>
            <w:tcMar>
              <w:top w:type="dxa" w:w="50"/>
              <w:left w:type="dxa" w:w="80"/>
              <w:bottom w:type="dxa" w:w="50"/>
              <w:right w:type="dxa" w:w="80"/>
            </w:tcMar>
            <w:vAlign w:val="center"/>
          </w:tcPr>
          <w:p>
            <w:pPr>
              <w:jc w:val="center"/>
            </w:pPr>
            <w:r>
              <w:rPr>
                <w:b/>
                <w:bCs/>
                <w:color w:val="0F7A52"/>
                <w:sz w:val="18"/>
                <w:szCs w:val="18"/>
              </w:rPr>
              <w:t xml:space="preserve">+7.09</w:t>
            </w:r>
          </w:p>
        </w:tc>
        <w:tc>
          <w:tcPr>
            <w:tcW w:type="dxa" w:w="1150"/>
            <w:tcMar>
              <w:top w:type="dxa" w:w="50"/>
              <w:left w:type="dxa" w:w="80"/>
              <w:bottom w:type="dxa" w:w="50"/>
              <w:right w:type="dxa" w:w="80"/>
            </w:tcMar>
            <w:vAlign w:val="center"/>
          </w:tcPr>
          <w:p>
            <w:pPr>
              <w:jc w:val="center"/>
            </w:pPr>
            <w:r>
              <w:rPr>
                <w:color w:val="000000"/>
                <w:sz w:val="18"/>
                <w:szCs w:val="18"/>
              </w:rPr>
              <w:t xml:space="preserve">—</w:t>
            </w:r>
          </w:p>
        </w:tc>
      </w:tr>
      <w:tr>
        <w:tc>
          <w:tcPr>
            <w:tcW w:type="dxa" w:w="700"/>
            <w:shd w:fill="EEF2F7" w:val="clear"/>
            <w:tcMar>
              <w:top w:type="dxa" w:w="50"/>
              <w:left w:type="dxa" w:w="80"/>
              <w:bottom w:type="dxa" w:w="50"/>
              <w:right w:type="dxa" w:w="80"/>
            </w:tcMar>
            <w:vAlign w:val="center"/>
          </w:tcPr>
          <w:p>
            <w:pPr>
              <w:jc w:val="center"/>
            </w:pPr>
            <w:r>
              <w:rPr>
                <w:color w:val="000000"/>
                <w:sz w:val="18"/>
                <w:szCs w:val="18"/>
              </w:rPr>
              <w:t xml:space="preserve">2020</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232.54</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8.70</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3.74%</w:t>
            </w:r>
          </w:p>
        </w:tc>
        <w:tc>
          <w:tcPr>
            <w:tcW w:type="dxa" w:w="1150"/>
            <w:shd w:fill="EEF2F7" w:val="clear"/>
            <w:tcMar>
              <w:top w:type="dxa" w:w="50"/>
              <w:left w:type="dxa" w:w="80"/>
              <w:bottom w:type="dxa" w:w="50"/>
              <w:right w:type="dxa" w:w="80"/>
            </w:tcMar>
            <w:vAlign w:val="center"/>
          </w:tcPr>
          <w:p>
            <w:pPr>
              <w:jc w:val="center"/>
            </w:pPr>
            <w:r>
              <w:rPr>
                <w:b/>
                <w:bCs/>
                <w:color w:val="B02418"/>
                <w:sz w:val="18"/>
                <w:szCs w:val="18"/>
              </w:rPr>
              <w:t xml:space="preserve">-4.09</w:t>
            </w:r>
          </w:p>
        </w:tc>
        <w:tc>
          <w:tcPr>
            <w:tcW w:type="dxa" w:w="1450"/>
            <w:shd w:fill="EEF2F7" w:val="clear"/>
            <w:tcMar>
              <w:top w:type="dxa" w:w="50"/>
              <w:left w:type="dxa" w:w="80"/>
              <w:bottom w:type="dxa" w:w="50"/>
              <w:right w:type="dxa" w:w="80"/>
            </w:tcMar>
            <w:vAlign w:val="center"/>
          </w:tcPr>
          <w:p>
            <w:pPr>
              <w:jc w:val="center"/>
            </w:pPr>
            <w:r>
              <w:rPr>
                <w:color w:val="0F7A52"/>
                <w:sz w:val="18"/>
                <w:szCs w:val="18"/>
              </w:rPr>
              <w:t xml:space="preserve">+7.88</w:t>
            </w:r>
          </w:p>
        </w:tc>
        <w:tc>
          <w:tcPr>
            <w:tcW w:type="dxa" w:w="1150"/>
            <w:shd w:fill="EEF2F7" w:val="clear"/>
            <w:tcMar>
              <w:top w:type="dxa" w:w="50"/>
              <w:left w:type="dxa" w:w="80"/>
              <w:bottom w:type="dxa" w:w="50"/>
              <w:right w:type="dxa" w:w="80"/>
            </w:tcMar>
            <w:vAlign w:val="center"/>
          </w:tcPr>
          <w:p>
            <w:pPr>
              <w:jc w:val="center"/>
            </w:pPr>
            <w:r>
              <w:rPr>
                <w:b/>
                <w:bCs/>
                <w:color w:val="0F7A52"/>
                <w:sz w:val="18"/>
                <w:szCs w:val="18"/>
              </w:rPr>
              <w:t xml:space="preserve">+3.79</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w:t>
            </w:r>
          </w:p>
        </w:tc>
      </w:tr>
      <w:tr>
        <w:tc>
          <w:tcPr>
            <w:tcW w:type="dxa" w:w="700"/>
            <w:tcMar>
              <w:top w:type="dxa" w:w="50"/>
              <w:left w:type="dxa" w:w="80"/>
              <w:bottom w:type="dxa" w:w="50"/>
              <w:right w:type="dxa" w:w="80"/>
            </w:tcMar>
            <w:vAlign w:val="center"/>
          </w:tcPr>
          <w:p>
            <w:pPr>
              <w:jc w:val="center"/>
            </w:pPr>
            <w:r>
              <w:rPr>
                <w:color w:val="000000"/>
                <w:sz w:val="18"/>
                <w:szCs w:val="18"/>
              </w:rPr>
              <w:t xml:space="preserve">2021</w:t>
            </w:r>
          </w:p>
        </w:tc>
        <w:tc>
          <w:tcPr>
            <w:tcW w:type="dxa" w:w="1350"/>
            <w:tcMar>
              <w:top w:type="dxa" w:w="50"/>
              <w:left w:type="dxa" w:w="80"/>
              <w:bottom w:type="dxa" w:w="50"/>
              <w:right w:type="dxa" w:w="80"/>
            </w:tcMar>
            <w:vAlign w:val="center"/>
          </w:tcPr>
          <w:p>
            <w:pPr>
              <w:jc w:val="center"/>
            </w:pPr>
            <w:r>
              <w:rPr>
                <w:color w:val="000000"/>
                <w:sz w:val="18"/>
                <w:szCs w:val="18"/>
              </w:rPr>
              <w:t xml:space="preserve">282.07</w:t>
            </w:r>
          </w:p>
        </w:tc>
        <w:tc>
          <w:tcPr>
            <w:tcW w:type="dxa" w:w="1350"/>
            <w:tcMar>
              <w:top w:type="dxa" w:w="50"/>
              <w:left w:type="dxa" w:w="80"/>
              <w:bottom w:type="dxa" w:w="50"/>
              <w:right w:type="dxa" w:w="80"/>
            </w:tcMar>
            <w:vAlign w:val="center"/>
          </w:tcPr>
          <w:p>
            <w:pPr>
              <w:jc w:val="center"/>
            </w:pPr>
            <w:r>
              <w:rPr>
                <w:color w:val="000000"/>
                <w:sz w:val="18"/>
                <w:szCs w:val="18"/>
              </w:rPr>
              <w:t xml:space="preserve">10.63</w:t>
            </w:r>
          </w:p>
        </w:tc>
        <w:tc>
          <w:tcPr>
            <w:tcW w:type="dxa" w:w="1150"/>
            <w:tcMar>
              <w:top w:type="dxa" w:w="50"/>
              <w:left w:type="dxa" w:w="80"/>
              <w:bottom w:type="dxa" w:w="50"/>
              <w:right w:type="dxa" w:w="80"/>
            </w:tcMar>
            <w:vAlign w:val="center"/>
          </w:tcPr>
          <w:p>
            <w:pPr>
              <w:jc w:val="center"/>
            </w:pPr>
            <w:r>
              <w:rPr>
                <w:color w:val="000000"/>
                <w:sz w:val="18"/>
                <w:szCs w:val="18"/>
              </w:rPr>
              <w:t xml:space="preserve">3.77%</w:t>
            </w:r>
          </w:p>
        </w:tc>
        <w:tc>
          <w:tcPr>
            <w:tcW w:type="dxa" w:w="1150"/>
            <w:tcMar>
              <w:top w:type="dxa" w:w="50"/>
              <w:left w:type="dxa" w:w="80"/>
              <w:bottom w:type="dxa" w:w="50"/>
              <w:right w:type="dxa" w:w="80"/>
            </w:tcMar>
            <w:vAlign w:val="center"/>
          </w:tcPr>
          <w:p>
            <w:pPr>
              <w:jc w:val="center"/>
            </w:pPr>
            <w:r>
              <w:rPr>
                <w:b/>
                <w:bCs/>
                <w:color w:val="B02418"/>
                <w:sz w:val="18"/>
                <w:szCs w:val="18"/>
              </w:rPr>
              <w:t xml:space="preserve">-4.89</w:t>
            </w:r>
          </w:p>
        </w:tc>
        <w:tc>
          <w:tcPr>
            <w:tcW w:type="dxa" w:w="1450"/>
            <w:tcMar>
              <w:top w:type="dxa" w:w="50"/>
              <w:left w:type="dxa" w:w="80"/>
              <w:bottom w:type="dxa" w:w="50"/>
              <w:right w:type="dxa" w:w="80"/>
            </w:tcMar>
            <w:vAlign w:val="center"/>
          </w:tcPr>
          <w:p>
            <w:pPr>
              <w:jc w:val="center"/>
            </w:pPr>
            <w:r>
              <w:rPr>
                <w:color w:val="0F7A52"/>
                <w:sz w:val="18"/>
                <w:szCs w:val="18"/>
              </w:rPr>
              <w:t xml:space="preserve">+5.83</w:t>
            </w:r>
          </w:p>
        </w:tc>
        <w:tc>
          <w:tcPr>
            <w:tcW w:type="dxa" w:w="1150"/>
            <w:tcMar>
              <w:top w:type="dxa" w:w="50"/>
              <w:left w:type="dxa" w:w="80"/>
              <w:bottom w:type="dxa" w:w="50"/>
              <w:right w:type="dxa" w:w="80"/>
            </w:tcMar>
            <w:vAlign w:val="center"/>
          </w:tcPr>
          <w:p>
            <w:pPr>
              <w:jc w:val="center"/>
            </w:pPr>
            <w:r>
              <w:rPr>
                <w:b/>
                <w:bCs/>
                <w:color w:val="0F7A52"/>
                <w:sz w:val="18"/>
                <w:szCs w:val="18"/>
              </w:rPr>
              <w:t xml:space="preserve">+0.94</w:t>
            </w:r>
          </w:p>
        </w:tc>
        <w:tc>
          <w:tcPr>
            <w:tcW w:type="dxa" w:w="1150"/>
            <w:tcMar>
              <w:top w:type="dxa" w:w="50"/>
              <w:left w:type="dxa" w:w="80"/>
              <w:bottom w:type="dxa" w:w="50"/>
              <w:right w:type="dxa" w:w="80"/>
            </w:tcMar>
            <w:vAlign w:val="center"/>
          </w:tcPr>
          <w:p>
            <w:pPr>
              <w:jc w:val="center"/>
            </w:pPr>
            <w:r>
              <w:rPr>
                <w:color w:val="000000"/>
                <w:sz w:val="18"/>
                <w:szCs w:val="18"/>
              </w:rPr>
              <w:t xml:space="preserve">—</w:t>
            </w:r>
          </w:p>
        </w:tc>
      </w:tr>
      <w:tr>
        <w:tc>
          <w:tcPr>
            <w:tcW w:type="dxa" w:w="700"/>
            <w:shd w:fill="EEF2F7" w:val="clear"/>
            <w:tcMar>
              <w:top w:type="dxa" w:w="50"/>
              <w:left w:type="dxa" w:w="80"/>
              <w:bottom w:type="dxa" w:w="50"/>
              <w:right w:type="dxa" w:w="80"/>
            </w:tcMar>
            <w:vAlign w:val="center"/>
          </w:tcPr>
          <w:p>
            <w:pPr>
              <w:jc w:val="center"/>
            </w:pPr>
            <w:r>
              <w:rPr>
                <w:color w:val="000000"/>
                <w:sz w:val="18"/>
                <w:szCs w:val="18"/>
              </w:rPr>
              <w:t xml:space="preserve">2022</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411.31</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12.37</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3.01%</w:t>
            </w:r>
          </w:p>
        </w:tc>
        <w:tc>
          <w:tcPr>
            <w:tcW w:type="dxa" w:w="1150"/>
            <w:shd w:fill="EEF2F7" w:val="clear"/>
            <w:tcMar>
              <w:top w:type="dxa" w:w="50"/>
              <w:left w:type="dxa" w:w="80"/>
              <w:bottom w:type="dxa" w:w="50"/>
              <w:right w:type="dxa" w:w="80"/>
            </w:tcMar>
            <w:vAlign w:val="center"/>
          </w:tcPr>
          <w:p>
            <w:pPr>
              <w:jc w:val="center"/>
            </w:pPr>
            <w:r>
              <w:rPr>
                <w:b/>
                <w:bCs/>
                <w:color w:val="B02418"/>
                <w:sz w:val="18"/>
                <w:szCs w:val="18"/>
              </w:rPr>
              <w:t xml:space="preserve">-10.26</w:t>
            </w:r>
          </w:p>
        </w:tc>
        <w:tc>
          <w:tcPr>
            <w:tcW w:type="dxa" w:w="1450"/>
            <w:shd w:fill="EEF2F7" w:val="clear"/>
            <w:tcMar>
              <w:top w:type="dxa" w:w="50"/>
              <w:left w:type="dxa" w:w="80"/>
              <w:bottom w:type="dxa" w:w="50"/>
              <w:right w:type="dxa" w:w="80"/>
            </w:tcMar>
            <w:vAlign w:val="center"/>
          </w:tcPr>
          <w:p>
            <w:pPr>
              <w:jc w:val="center"/>
            </w:pPr>
            <w:r>
              <w:rPr>
                <w:color w:val="0F7A52"/>
                <w:sz w:val="18"/>
                <w:szCs w:val="18"/>
              </w:rPr>
              <w:t xml:space="preserve">+4.49</w:t>
            </w:r>
          </w:p>
        </w:tc>
        <w:tc>
          <w:tcPr>
            <w:tcW w:type="dxa" w:w="1150"/>
            <w:shd w:fill="EEF2F7" w:val="clear"/>
            <w:tcMar>
              <w:top w:type="dxa" w:w="50"/>
              <w:left w:type="dxa" w:w="80"/>
              <w:bottom w:type="dxa" w:w="50"/>
              <w:right w:type="dxa" w:w="80"/>
            </w:tcMar>
            <w:vAlign w:val="center"/>
          </w:tcPr>
          <w:p>
            <w:pPr>
              <w:jc w:val="center"/>
            </w:pPr>
            <w:r>
              <w:rPr>
                <w:b/>
                <w:bCs/>
                <w:color w:val="B02418"/>
                <w:sz w:val="18"/>
                <w:szCs w:val="18"/>
              </w:rPr>
              <w:t xml:space="preserve">-5.77</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5.77</w:t>
            </w:r>
          </w:p>
        </w:tc>
      </w:tr>
      <w:tr>
        <w:tc>
          <w:tcPr>
            <w:tcW w:type="dxa" w:w="700"/>
            <w:tcMar>
              <w:top w:type="dxa" w:w="50"/>
              <w:left w:type="dxa" w:w="80"/>
              <w:bottom w:type="dxa" w:w="50"/>
              <w:right w:type="dxa" w:w="80"/>
            </w:tcMar>
            <w:vAlign w:val="center"/>
          </w:tcPr>
          <w:p>
            <w:pPr>
              <w:jc w:val="center"/>
            </w:pPr>
            <w:r>
              <w:rPr>
                <w:color w:val="000000"/>
                <w:sz w:val="18"/>
                <w:szCs w:val="18"/>
              </w:rPr>
              <w:t xml:space="preserve">2023</w:t>
            </w:r>
          </w:p>
        </w:tc>
        <w:tc>
          <w:tcPr>
            <w:tcW w:type="dxa" w:w="1350"/>
            <w:tcMar>
              <w:top w:type="dxa" w:w="50"/>
              <w:left w:type="dxa" w:w="80"/>
              <w:bottom w:type="dxa" w:w="50"/>
              <w:right w:type="dxa" w:w="80"/>
            </w:tcMar>
            <w:vAlign w:val="center"/>
          </w:tcPr>
          <w:p>
            <w:pPr>
              <w:jc w:val="center"/>
            </w:pPr>
            <w:r>
              <w:rPr>
                <w:color w:val="000000"/>
                <w:sz w:val="18"/>
                <w:szCs w:val="18"/>
              </w:rPr>
              <w:t xml:space="preserve">440.22</w:t>
            </w:r>
          </w:p>
        </w:tc>
        <w:tc>
          <w:tcPr>
            <w:tcW w:type="dxa" w:w="1350"/>
            <w:tcMar>
              <w:top w:type="dxa" w:w="50"/>
              <w:left w:type="dxa" w:w="80"/>
              <w:bottom w:type="dxa" w:w="50"/>
              <w:right w:type="dxa" w:w="80"/>
            </w:tcMar>
            <w:vAlign w:val="center"/>
          </w:tcPr>
          <w:p>
            <w:pPr>
              <w:jc w:val="center"/>
            </w:pPr>
            <w:r>
              <w:rPr>
                <w:color w:val="000000"/>
                <w:sz w:val="18"/>
                <w:szCs w:val="18"/>
              </w:rPr>
              <w:t xml:space="preserve">15.06</w:t>
            </w:r>
          </w:p>
        </w:tc>
        <w:tc>
          <w:tcPr>
            <w:tcW w:type="dxa" w:w="1150"/>
            <w:tcMar>
              <w:top w:type="dxa" w:w="50"/>
              <w:left w:type="dxa" w:w="80"/>
              <w:bottom w:type="dxa" w:w="50"/>
              <w:right w:type="dxa" w:w="80"/>
            </w:tcMar>
            <w:vAlign w:val="center"/>
          </w:tcPr>
          <w:p>
            <w:pPr>
              <w:jc w:val="center"/>
            </w:pPr>
            <w:r>
              <w:rPr>
                <w:color w:val="000000"/>
                <w:sz w:val="18"/>
                <w:szCs w:val="18"/>
              </w:rPr>
              <w:t xml:space="preserve">3.42%</w:t>
            </w:r>
          </w:p>
        </w:tc>
        <w:tc>
          <w:tcPr>
            <w:tcW w:type="dxa" w:w="1150"/>
            <w:tcMar>
              <w:top w:type="dxa" w:w="50"/>
              <w:left w:type="dxa" w:w="80"/>
              <w:bottom w:type="dxa" w:w="50"/>
              <w:right w:type="dxa" w:w="80"/>
            </w:tcMar>
            <w:vAlign w:val="center"/>
          </w:tcPr>
          <w:p>
            <w:pPr>
              <w:jc w:val="center"/>
            </w:pPr>
            <w:r>
              <w:rPr>
                <w:b/>
                <w:bCs/>
                <w:color w:val="B02418"/>
                <w:sz w:val="18"/>
                <w:szCs w:val="18"/>
              </w:rPr>
              <w:t xml:space="preserve">-9.15</w:t>
            </w:r>
          </w:p>
        </w:tc>
        <w:tc>
          <w:tcPr>
            <w:tcW w:type="dxa" w:w="1450"/>
            <w:tcMar>
              <w:top w:type="dxa" w:w="50"/>
              <w:left w:type="dxa" w:w="80"/>
              <w:bottom w:type="dxa" w:w="50"/>
              <w:right w:type="dxa" w:w="80"/>
            </w:tcMar>
            <w:vAlign w:val="center"/>
          </w:tcPr>
          <w:p>
            <w:pPr>
              <w:jc w:val="center"/>
            </w:pPr>
            <w:r>
              <w:rPr>
                <w:color w:val="0F7A52"/>
                <w:sz w:val="18"/>
                <w:szCs w:val="18"/>
              </w:rPr>
              <w:t xml:space="preserve">+2.25</w:t>
            </w:r>
          </w:p>
        </w:tc>
        <w:tc>
          <w:tcPr>
            <w:tcW w:type="dxa" w:w="1150"/>
            <w:tcMar>
              <w:top w:type="dxa" w:w="50"/>
              <w:left w:type="dxa" w:w="80"/>
              <w:bottom w:type="dxa" w:w="50"/>
              <w:right w:type="dxa" w:w="80"/>
            </w:tcMar>
            <w:vAlign w:val="center"/>
          </w:tcPr>
          <w:p>
            <w:pPr>
              <w:jc w:val="center"/>
            </w:pPr>
            <w:r>
              <w:rPr>
                <w:b/>
                <w:bCs/>
                <w:color w:val="B02418"/>
                <w:sz w:val="18"/>
                <w:szCs w:val="18"/>
              </w:rPr>
              <w:t xml:space="preserve">-6.90</w:t>
            </w:r>
          </w:p>
        </w:tc>
        <w:tc>
          <w:tcPr>
            <w:tcW w:type="dxa" w:w="1150"/>
            <w:tcMar>
              <w:top w:type="dxa" w:w="50"/>
              <w:left w:type="dxa" w:w="80"/>
              <w:bottom w:type="dxa" w:w="50"/>
              <w:right w:type="dxa" w:w="80"/>
            </w:tcMar>
            <w:vAlign w:val="center"/>
          </w:tcPr>
          <w:p>
            <w:pPr>
              <w:jc w:val="center"/>
            </w:pPr>
            <w:r>
              <w:rPr>
                <w:color w:val="000000"/>
                <w:sz w:val="18"/>
                <w:szCs w:val="18"/>
              </w:rPr>
              <w:t xml:space="preserve">6.90</w:t>
            </w:r>
          </w:p>
        </w:tc>
      </w:tr>
      <w:tr>
        <w:tc>
          <w:tcPr>
            <w:tcW w:type="dxa" w:w="700"/>
            <w:shd w:fill="EEF2F7" w:val="clear"/>
            <w:tcMar>
              <w:top w:type="dxa" w:w="50"/>
              <w:left w:type="dxa" w:w="80"/>
              <w:bottom w:type="dxa" w:w="50"/>
              <w:right w:type="dxa" w:w="80"/>
            </w:tcMar>
            <w:vAlign w:val="center"/>
          </w:tcPr>
          <w:p>
            <w:pPr>
              <w:jc w:val="center"/>
            </w:pPr>
            <w:r>
              <w:rPr>
                <w:color w:val="000000"/>
                <w:sz w:val="18"/>
                <w:szCs w:val="18"/>
              </w:rPr>
              <w:t xml:space="preserve">2024</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633.92</w:t>
            </w:r>
          </w:p>
        </w:tc>
        <w:tc>
          <w:tcPr>
            <w:tcW w:type="dxa" w:w="1350"/>
            <w:shd w:fill="EEF2F7" w:val="clear"/>
            <w:tcMar>
              <w:top w:type="dxa" w:w="50"/>
              <w:left w:type="dxa" w:w="80"/>
              <w:bottom w:type="dxa" w:w="50"/>
              <w:right w:type="dxa" w:w="80"/>
            </w:tcMar>
            <w:vAlign w:val="center"/>
          </w:tcPr>
          <w:p>
            <w:pPr>
              <w:jc w:val="center"/>
            </w:pPr>
            <w:r>
              <w:rPr>
                <w:color w:val="000000"/>
                <w:sz w:val="18"/>
                <w:szCs w:val="18"/>
              </w:rPr>
              <w:t xml:space="preserve">17.05</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2.69%</w:t>
            </w:r>
          </w:p>
        </w:tc>
        <w:tc>
          <w:tcPr>
            <w:tcW w:type="dxa" w:w="1150"/>
            <w:shd w:fill="EEF2F7" w:val="clear"/>
            <w:tcMar>
              <w:top w:type="dxa" w:w="50"/>
              <w:left w:type="dxa" w:w="80"/>
              <w:bottom w:type="dxa" w:w="50"/>
              <w:right w:type="dxa" w:w="80"/>
            </w:tcMar>
            <w:vAlign w:val="center"/>
          </w:tcPr>
          <w:p>
            <w:pPr>
              <w:jc w:val="center"/>
            </w:pPr>
            <w:r>
              <w:rPr>
                <w:b/>
                <w:bCs/>
                <w:color w:val="B02418"/>
                <w:sz w:val="18"/>
                <w:szCs w:val="18"/>
              </w:rPr>
              <w:t xml:space="preserve">-17.82</w:t>
            </w:r>
          </w:p>
        </w:tc>
        <w:tc>
          <w:tcPr>
            <w:tcW w:type="dxa" w:w="1450"/>
            <w:shd w:fill="EEF2F7" w:val="clear"/>
            <w:tcMar>
              <w:top w:type="dxa" w:w="50"/>
              <w:left w:type="dxa" w:w="80"/>
              <w:bottom w:type="dxa" w:w="50"/>
              <w:right w:type="dxa" w:w="80"/>
            </w:tcMar>
            <w:vAlign w:val="center"/>
          </w:tcPr>
          <w:p>
            <w:pPr>
              <w:jc w:val="center"/>
            </w:pPr>
            <w:r>
              <w:rPr>
                <w:color w:val="0F7A52"/>
                <w:sz w:val="18"/>
                <w:szCs w:val="18"/>
              </w:rPr>
              <w:t xml:space="preserve">+0.00</w:t>
            </w:r>
          </w:p>
        </w:tc>
        <w:tc>
          <w:tcPr>
            <w:tcW w:type="dxa" w:w="1150"/>
            <w:shd w:fill="EEF2F7" w:val="clear"/>
            <w:tcMar>
              <w:top w:type="dxa" w:w="50"/>
              <w:left w:type="dxa" w:w="80"/>
              <w:bottom w:type="dxa" w:w="50"/>
              <w:right w:type="dxa" w:w="80"/>
            </w:tcMar>
            <w:vAlign w:val="center"/>
          </w:tcPr>
          <w:p>
            <w:pPr>
              <w:jc w:val="center"/>
            </w:pPr>
            <w:r>
              <w:rPr>
                <w:b/>
                <w:bCs/>
                <w:color w:val="B02418"/>
                <w:sz w:val="18"/>
                <w:szCs w:val="18"/>
              </w:rPr>
              <w:t xml:space="preserve">-17.82</w:t>
            </w:r>
          </w:p>
        </w:tc>
        <w:tc>
          <w:tcPr>
            <w:tcW w:type="dxa" w:w="1150"/>
            <w:shd w:fill="EEF2F7" w:val="clear"/>
            <w:tcMar>
              <w:top w:type="dxa" w:w="50"/>
              <w:left w:type="dxa" w:w="80"/>
              <w:bottom w:type="dxa" w:w="50"/>
              <w:right w:type="dxa" w:w="80"/>
            </w:tcMar>
            <w:vAlign w:val="center"/>
          </w:tcPr>
          <w:p>
            <w:pPr>
              <w:jc w:val="center"/>
            </w:pPr>
            <w:r>
              <w:rPr>
                <w:color w:val="000000"/>
                <w:sz w:val="18"/>
                <w:szCs w:val="18"/>
              </w:rPr>
              <w:t xml:space="preserve">17.82</w:t>
            </w:r>
          </w:p>
        </w:tc>
      </w:tr>
    </w:tbl>
    <w:p>
      <w:pPr>
        <w:spacing w:after="140"/>
      </w:pPr>
      <w:r>
        <w:rPr>
          <w:i/>
          <w:iCs/>
          <w:color w:val="666666"/>
          <w:sz w:val="17"/>
          <w:szCs w:val="17"/>
        </w:rPr>
        <w:t xml:space="preserve">Entry effect = shares retired × [real EPS(t+1) − placeholder COE × real price paid]. Earned since = that tranche's claim on entity-level AEG in every later year. FY2025 tranche is excluded — it needs FY2026 earnings, not yet filed.</w:t>
      </w:r>
    </w:p>
    <w:p>
      <w:pPr>
        <w:spacing w:after="150"/>
      </w:pPr>
      <w:r>
        <w:rPr>
          <w:sz w:val="20"/>
          <w:szCs w:val="20"/>
        </w:rPr>
        <w:t xml:space="preserve">Every tranche in the program is negative on entry at the placeholder rate — unlike Apple, where the sign flipped partway through. And because the entry effect is linear in the cost of equity, it has exactly one root: the retirement-weighted forward real earnings yield on the whole program, which for Costco is 3.62%. That is BELOW the 5.5% placeholder used throughout — meaning even a real cost of equity as low as 3.62% still leaves the cumulative entry effect exactly at breakeven, and any plausible real cost of equity for a company like Costco is likely above that. This is the sharpest number in this study and the one that most depends on the placeholder rate being roughly right.</w:t>
      </w:r>
    </w:p>
    <w:tbl>
      <w:tblPr>
        <w:tblW w:type="dxa" w:w="9500"/>
        <w:tblBorders>
          <w:top w:val="single" w:color="1F3864" w:sz="4"/>
          <w:left w:val="single" w:color="1F3864" w:sz="18"/>
          <w:bottom w:val="single" w:color="1F3864" w:sz="4"/>
          <w:right w:val="none" w:color="FFFFFF" w:sz="0"/>
          <w:insideH w:val="none" w:color="FFFFFF" w:sz="0"/>
          <w:insideV w:val="none" w:color="FFFFFF" w:sz="0"/>
        </w:tblBorders>
      </w:tblPr>
      <w:tblGrid>
        <w:gridCol w:w="100"/>
      </w:tblGrid>
      <w:tr>
        <w:tc>
          <w:tcPr>
            <w:tcW w:type="dxa" w:w="9500"/>
            <w:shd w:fill="F7F9FB" w:val="clear"/>
            <w:tcMar>
              <w:top w:type="dxa" w:w="140"/>
              <w:left w:type="dxa" w:w="200"/>
              <w:bottom w:type="dxa" w:w="140"/>
              <w:right w:type="dxa" w:w="200"/>
            </w:tcMar>
          </w:tcPr>
          <w:p>
            <w:pPr>
              <w:spacing w:after="0"/>
            </w:pPr>
            <w:r>
              <w:rPr>
                <w:i/>
                <w:iCs/>
                <w:color w:val="26313D"/>
                <w:sz w:val="19"/>
                <w:szCs w:val="19"/>
              </w:rPr>
              <w:t xml:space="preserve">What this does and does not say. The entry effect being negative at every observed rate is a real and repeatable finding: Costco has been paying a very rich earnings multiple for its own stock throughout this window, richer than a 3.6–5.5% real hurdle would reward on the earnings acquired alone. It says nothing about whether Costco's shares were, or are, worth that price — that is a question about Intrinsic Value, which this exercise does not estimate. The continuing effect (“earned since”) shows the same shares clawing most of that deficit back through the business's own subsequent abnormal growth in every tranche except the three most recent (FY2022–FY2024), which have not had time to.</w:t>
            </w:r>
          </w:p>
        </w:tc>
      </w:tr>
    </w:tbl>
    <w:p>
      <w:pPr>
        <w:pStyle w:val="Heading1"/>
        <w:spacing w:after="140" w:before="340"/>
      </w:pPr>
      <w:r>
        <w:rPr>
          <w:b/>
          <w:bCs/>
          <w:color w:val="1F3864"/>
          <w:sz w:val="25"/>
          <w:szCs w:val="25"/>
        </w:rPr>
        <w:t xml:space="preserve">4 · The Internal Rate Of Return, Two Ways (Not Three)</w:t>
      </w:r>
    </w:p>
    <w:p>
      <w:pPr>
        <w:spacing w:after="150"/>
      </w:pPr>
      <w:r>
        <w:rPr>
          <w:sz w:val="20"/>
          <w:szCs w:val="20"/>
        </w:rPr>
        <w:t xml:space="preserve">Treating the program as an investment — cash out each year, dividends the retired shares would have drawn coming back in, the accumulated shares valued at a terminal date — gives a cleaner read than the price-paid table alone.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1500"/>
      </w:tblGrid>
      <w:tr>
        <w:trPr>
          <w:tblHeader/>
        </w:trPr>
        <w:tc>
          <w:tcPr>
            <w:tcW w:type="dxa" w:w="1900"/>
            <w:shd w:fill="1F3864" w:val="clear"/>
            <w:tcMar>
              <w:top w:type="dxa" w:w="50"/>
              <w:left w:type="dxa" w:w="80"/>
              <w:bottom w:type="dxa" w:w="50"/>
              <w:right w:type="dxa" w:w="80"/>
            </w:tcMar>
            <w:vAlign w:val="center"/>
          </w:tcPr>
          <w:p>
            <w:pPr>
              <w:jc w:val="left"/>
            </w:pPr>
            <w:r>
              <w:rPr>
                <w:b/>
                <w:bCs/>
                <w:color w:val="FFFFFF"/>
                <w:sz w:val="16"/>
                <w:szCs w:val="16"/>
              </w:rPr>
              <w:t xml:space="preserve">Window</w:t>
            </w:r>
          </w:p>
        </w:tc>
        <w:tc>
          <w:tcPr>
            <w:tcW w:type="dxa" w:w="1500"/>
            <w:shd w:fill="1F3864" w:val="clear"/>
            <w:tcMar>
              <w:top w:type="dxa" w:w="50"/>
              <w:left w:type="dxa" w:w="80"/>
              <w:bottom w:type="dxa" w:w="50"/>
              <w:right w:type="dxa" w:w="80"/>
            </w:tcMar>
            <w:vAlign w:val="center"/>
          </w:tcPr>
          <w:p>
            <w:pPr>
              <w:jc w:val="center"/>
            </w:pPr>
            <w:r>
              <w:rPr>
                <w:b/>
                <w:bCs/>
                <w:color w:val="FFFFFF"/>
                <w:sz w:val="16"/>
                <w:szCs w:val="16"/>
              </w:rPr>
              <w:t xml:space="preserve">Nominal @ market</w:t>
            </w:r>
          </w:p>
        </w:tc>
        <w:tc>
          <w:tcPr>
            <w:tcW w:type="dxa" w:w="1500"/>
            <w:shd w:fill="1F3864" w:val="clear"/>
            <w:tcMar>
              <w:top w:type="dxa" w:w="50"/>
              <w:left w:type="dxa" w:w="80"/>
              <w:bottom w:type="dxa" w:w="50"/>
              <w:right w:type="dxa" w:w="80"/>
            </w:tcMar>
            <w:vAlign w:val="center"/>
          </w:tcPr>
          <w:p>
            <w:pPr>
              <w:jc w:val="center"/>
            </w:pPr>
            <w:r>
              <w:rPr>
                <w:b/>
                <w:bCs/>
                <w:color w:val="FFFFFF"/>
                <w:sz w:val="16"/>
                <w:szCs w:val="16"/>
              </w:rPr>
              <w:t xml:space="preserve">Real @ market</w:t>
            </w:r>
          </w:p>
        </w:tc>
        <w:tc>
          <w:tcPr>
            <w:tcW w:type="dxa" w:w="1900"/>
            <w:shd w:fill="1F3864" w:val="clear"/>
            <w:tcMar>
              <w:top w:type="dxa" w:w="50"/>
              <w:left w:type="dxa" w:w="80"/>
              <w:bottom w:type="dxa" w:w="50"/>
              <w:right w:type="dxa" w:w="80"/>
            </w:tcMar>
            <w:vAlign w:val="center"/>
          </w:tcPr>
          <w:p>
            <w:pPr>
              <w:jc w:val="center"/>
            </w:pPr>
            <w:r>
              <w:rPr>
                <w:b/>
                <w:bCs/>
                <w:color w:val="FFFFFF"/>
                <w:sz w:val="16"/>
                <w:szCs w:val="16"/>
              </w:rPr>
              <w:t xml:space="preserve">@ multiple paid</w:t>
            </w:r>
          </w:p>
        </w:tc>
        <w:tc>
          <w:tcPr>
            <w:tcW w:type="dxa" w:w="1500"/>
            <w:shd w:fill="1F3864" w:val="clear"/>
            <w:tcMar>
              <w:top w:type="dxa" w:w="50"/>
              <w:left w:type="dxa" w:w="80"/>
              <w:bottom w:type="dxa" w:w="50"/>
              <w:right w:type="dxa" w:w="80"/>
            </w:tcMar>
            <w:vAlign w:val="center"/>
          </w:tcPr>
          <w:p>
            <w:pPr>
              <w:jc w:val="center"/>
            </w:pPr>
            <w:r>
              <w:rPr>
                <w:b/>
                <w:bCs/>
                <w:color w:val="FFFFFF"/>
                <w:sz w:val="16"/>
                <w:szCs w:val="16"/>
              </w:rPr>
              <w:t xml:space="preserve">Shares</w:t>
            </w:r>
          </w:p>
        </w:tc>
      </w:tr>
      <w:tr>
        <w:tc>
          <w:tcPr>
            <w:tcW w:type="dxa" w:w="1900"/>
            <w:tcMar>
              <w:top w:type="dxa" w:w="50"/>
              <w:left w:type="dxa" w:w="80"/>
              <w:bottom w:type="dxa" w:w="50"/>
              <w:right w:type="dxa" w:w="80"/>
            </w:tcMar>
            <w:vAlign w:val="center"/>
          </w:tcPr>
          <w:p>
            <w:pPr>
              <w:jc w:val="left"/>
            </w:pPr>
            <w:r>
              <w:rPr>
                <w:color w:val="000000"/>
                <w:sz w:val="18"/>
                <w:szCs w:val="18"/>
              </w:rPr>
              <w:t xml:space="preserve">Last 5 years (FY21-25)</w:t>
            </w:r>
          </w:p>
        </w:tc>
        <w:tc>
          <w:tcPr>
            <w:tcW w:type="dxa" w:w="1500"/>
            <w:tcMar>
              <w:top w:type="dxa" w:w="50"/>
              <w:left w:type="dxa" w:w="80"/>
              <w:bottom w:type="dxa" w:w="50"/>
              <w:right w:type="dxa" w:w="80"/>
            </w:tcMar>
            <w:vAlign w:val="center"/>
          </w:tcPr>
          <w:p>
            <w:pPr>
              <w:jc w:val="center"/>
            </w:pPr>
            <w:r>
              <w:rPr>
                <w:color w:val="000000"/>
                <w:sz w:val="18"/>
                <w:szCs w:val="18"/>
              </w:rPr>
              <w:t xml:space="preserve">23.8%</w:t>
            </w:r>
          </w:p>
        </w:tc>
        <w:tc>
          <w:tcPr>
            <w:tcW w:type="dxa" w:w="1500"/>
            <w:tcMar>
              <w:top w:type="dxa" w:w="50"/>
              <w:left w:type="dxa" w:w="80"/>
              <w:bottom w:type="dxa" w:w="50"/>
              <w:right w:type="dxa" w:w="80"/>
            </w:tcMar>
            <w:vAlign w:val="center"/>
          </w:tcPr>
          <w:p>
            <w:pPr>
              <w:jc w:val="center"/>
            </w:pPr>
            <w:r>
              <w:rPr>
                <w:color w:val="000000"/>
                <w:sz w:val="18"/>
                <w:szCs w:val="18"/>
              </w:rPr>
              <w:t xml:space="preserve">16.5%</w:t>
            </w:r>
          </w:p>
        </w:tc>
        <w:tc>
          <w:tcPr>
            <w:tcW w:type="dxa" w:w="1900"/>
            <w:tcMar>
              <w:top w:type="dxa" w:w="50"/>
              <w:left w:type="dxa" w:w="80"/>
              <w:bottom w:type="dxa" w:w="50"/>
              <w:right w:type="dxa" w:w="80"/>
            </w:tcMar>
            <w:vAlign w:val="center"/>
          </w:tcPr>
          <w:p>
            <w:pPr>
              <w:jc w:val="center"/>
            </w:pPr>
            <w:r>
              <w:rPr>
                <w:color w:val="000000"/>
                <w:sz w:val="18"/>
                <w:szCs w:val="18"/>
              </w:rPr>
              <w:t xml:space="preserve">6.7%</w:t>
            </w:r>
          </w:p>
        </w:tc>
        <w:tc>
          <w:tcPr>
            <w:tcW w:type="dxa" w:w="1500"/>
            <w:tcMar>
              <w:top w:type="dxa" w:w="50"/>
              <w:left w:type="dxa" w:w="80"/>
              <w:bottom w:type="dxa" w:w="50"/>
              <w:right w:type="dxa" w:w="80"/>
            </w:tcMar>
            <w:vAlign w:val="center"/>
          </w:tcPr>
          <w:p>
            <w:pPr>
              <w:jc w:val="center"/>
            </w:pPr>
            <w:r>
              <w:rPr>
                <w:color w:val="000000"/>
                <w:sz w:val="18"/>
                <w:szCs w:val="18"/>
              </w:rPr>
              <w:t xml:space="preserve">5.5mn</w:t>
            </w:r>
          </w:p>
        </w:tc>
      </w:tr>
      <w:tr>
        <w:tc>
          <w:tcPr>
            <w:tcW w:type="dxa" w:w="1900"/>
            <w:shd w:fill="EEF2F7" w:val="clear"/>
            <w:tcMar>
              <w:top w:type="dxa" w:w="50"/>
              <w:left w:type="dxa" w:w="80"/>
              <w:bottom w:type="dxa" w:w="50"/>
              <w:right w:type="dxa" w:w="80"/>
            </w:tcMar>
            <w:vAlign w:val="center"/>
          </w:tcPr>
          <w:p>
            <w:pPr>
              <w:jc w:val="left"/>
            </w:pPr>
            <w:r>
              <w:rPr>
                <w:color w:val="000000"/>
                <w:sz w:val="18"/>
                <w:szCs w:val="18"/>
              </w:rPr>
              <w:t xml:space="preserve">Last 10 years (FY16-25)</w:t>
            </w:r>
          </w:p>
        </w:tc>
        <w:tc>
          <w:tcPr>
            <w:tcW w:type="dxa" w:w="1500"/>
            <w:shd w:fill="EEF2F7" w:val="clear"/>
            <w:tcMar>
              <w:top w:type="dxa" w:w="50"/>
              <w:left w:type="dxa" w:w="80"/>
              <w:bottom w:type="dxa" w:w="50"/>
              <w:right w:type="dxa" w:w="80"/>
            </w:tcMar>
            <w:vAlign w:val="center"/>
          </w:tcPr>
          <w:p>
            <w:pPr>
              <w:jc w:val="center"/>
            </w:pPr>
            <w:r>
              <w:rPr>
                <w:color w:val="000000"/>
                <w:sz w:val="18"/>
                <w:szCs w:val="18"/>
              </w:rPr>
              <w:t xml:space="preserve">24.4%</w:t>
            </w:r>
          </w:p>
        </w:tc>
        <w:tc>
          <w:tcPr>
            <w:tcW w:type="dxa" w:w="1500"/>
            <w:shd w:fill="EEF2F7" w:val="clear"/>
            <w:tcMar>
              <w:top w:type="dxa" w:w="50"/>
              <w:left w:type="dxa" w:w="80"/>
              <w:bottom w:type="dxa" w:w="50"/>
              <w:right w:type="dxa" w:w="80"/>
            </w:tcMar>
            <w:vAlign w:val="center"/>
          </w:tcPr>
          <w:p>
            <w:pPr>
              <w:jc w:val="center"/>
            </w:pPr>
            <w:r>
              <w:rPr>
                <w:color w:val="000000"/>
                <w:sz w:val="18"/>
                <w:szCs w:val="18"/>
              </w:rPr>
              <w:t xml:space="preserve">19.3%</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17.4%</w:t>
            </w:r>
          </w:p>
        </w:tc>
        <w:tc>
          <w:tcPr>
            <w:tcW w:type="dxa" w:w="1500"/>
            <w:shd w:fill="EEF2F7" w:val="clear"/>
            <w:tcMar>
              <w:top w:type="dxa" w:w="50"/>
              <w:left w:type="dxa" w:w="80"/>
              <w:bottom w:type="dxa" w:w="50"/>
              <w:right w:type="dxa" w:w="80"/>
            </w:tcMar>
            <w:vAlign w:val="center"/>
          </w:tcPr>
          <w:p>
            <w:pPr>
              <w:jc w:val="center"/>
            </w:pPr>
            <w:r>
              <w:rPr>
                <w:color w:val="000000"/>
                <w:sz w:val="18"/>
                <w:szCs w:val="18"/>
              </w:rPr>
              <w:t xml:space="preserve">15.2mn</w:t>
            </w:r>
          </w:p>
        </w:tc>
      </w:tr>
      <w:tr>
        <w:tc>
          <w:tcPr>
            <w:tcW w:type="dxa" w:w="1900"/>
            <w:tcMar>
              <w:top w:type="dxa" w:w="50"/>
              <w:left w:type="dxa" w:w="80"/>
              <w:bottom w:type="dxa" w:w="50"/>
              <w:right w:type="dxa" w:w="80"/>
            </w:tcMar>
            <w:vAlign w:val="center"/>
          </w:tcPr>
          <w:p>
            <w:pPr>
              <w:jc w:val="left"/>
            </w:pPr>
            <w:r>
              <w:rPr>
                <w:color w:val="000000"/>
                <w:sz w:val="18"/>
                <w:szCs w:val="18"/>
              </w:rPr>
              <w:t xml:space="preserve">Full program, 11 years</w:t>
            </w:r>
          </w:p>
        </w:tc>
        <w:tc>
          <w:tcPr>
            <w:tcW w:type="dxa" w:w="1500"/>
            <w:tcMar>
              <w:top w:type="dxa" w:w="50"/>
              <w:left w:type="dxa" w:w="80"/>
              <w:bottom w:type="dxa" w:w="50"/>
              <w:right w:type="dxa" w:w="80"/>
            </w:tcMar>
            <w:vAlign w:val="center"/>
          </w:tcPr>
          <w:p>
            <w:pPr>
              <w:jc w:val="center"/>
            </w:pPr>
            <w:r>
              <w:rPr>
                <w:color w:val="000000"/>
                <w:sz w:val="18"/>
                <w:szCs w:val="18"/>
              </w:rPr>
              <w:t xml:space="preserve">23.6%</w:t>
            </w:r>
          </w:p>
        </w:tc>
        <w:tc>
          <w:tcPr>
            <w:tcW w:type="dxa" w:w="1500"/>
            <w:tcMar>
              <w:top w:type="dxa" w:w="50"/>
              <w:left w:type="dxa" w:w="80"/>
              <w:bottom w:type="dxa" w:w="50"/>
              <w:right w:type="dxa" w:w="80"/>
            </w:tcMar>
            <w:vAlign w:val="center"/>
          </w:tcPr>
          <w:p>
            <w:pPr>
              <w:jc w:val="center"/>
            </w:pPr>
            <w:r>
              <w:rPr>
                <w:color w:val="000000"/>
                <w:sz w:val="18"/>
                <w:szCs w:val="18"/>
              </w:rPr>
              <w:t xml:space="preserve">18.9%</w:t>
            </w:r>
          </w:p>
        </w:tc>
        <w:tc>
          <w:tcPr>
            <w:tcW w:type="dxa" w:w="1900"/>
            <w:tcMar>
              <w:top w:type="dxa" w:w="50"/>
              <w:left w:type="dxa" w:w="80"/>
              <w:bottom w:type="dxa" w:w="50"/>
              <w:right w:type="dxa" w:w="80"/>
            </w:tcMar>
            <w:vAlign w:val="center"/>
          </w:tcPr>
          <w:p>
            <w:pPr>
              <w:jc w:val="center"/>
            </w:pPr>
            <w:r>
              <w:rPr>
                <w:color w:val="000000"/>
                <w:sz w:val="18"/>
                <w:szCs w:val="18"/>
              </w:rPr>
              <w:t xml:space="preserve">17.5%</w:t>
            </w:r>
          </w:p>
        </w:tc>
        <w:tc>
          <w:tcPr>
            <w:tcW w:type="dxa" w:w="1500"/>
            <w:tcMar>
              <w:top w:type="dxa" w:w="50"/>
              <w:left w:type="dxa" w:w="80"/>
              <w:bottom w:type="dxa" w:w="50"/>
              <w:right w:type="dxa" w:w="80"/>
            </w:tcMar>
            <w:vAlign w:val="center"/>
          </w:tcPr>
          <w:p>
            <w:pPr>
              <w:jc w:val="center"/>
            </w:pPr>
            <w:r>
              <w:rPr>
                <w:color w:val="000000"/>
                <w:sz w:val="18"/>
                <w:szCs w:val="18"/>
              </w:rPr>
              <w:t xml:space="preserve">18.6mn</w:t>
            </w:r>
          </w:p>
        </w:tc>
      </w:tr>
    </w:tbl>
    <w:p>
      <w:pPr>
        <w:spacing w:after="140"/>
      </w:pPr>
      <w:r>
        <w:rPr>
          <w:i/>
          <w:iCs/>
          <w:color w:val="666666"/>
          <w:sz w:val="17"/>
          <w:szCs w:val="17"/>
        </w:rPr>
        <w:t xml:space="preserve">Terminal date fiscal year end 2025, market close $943.32. “@ multiple paid” values the shares at FY2025 earnings times the 35.89x multiple Costco itself paid on average, stripping out re-rating. A third column, “at Neutral Value,” is standard in this series (see the Apple study) but is NOT available here — no AEG engine valuation run exists for Costco, so there is no Neutral Earnings Power or Neutral P/E to value the terminal shares against. This is a genuine gap, not an omission.</w:t>
      </w:r>
    </w:p>
    <w:p>
      <w:pPr>
        <w:spacing w:after="150"/>
      </w:pPr>
      <w:r>
        <w:rPr>
          <w:sz w:val="20"/>
          <w:szCs w:val="20"/>
        </w:rPr>
        <w:t xml:space="preserve">Break-even terminal price for the full program: $376.23 (real cost of equity plus 2.5% assumed inflation) against an actual FY2025 close of $943.32 — a wide margin, but built on the placeholder rate.</w:t>
      </w:r>
    </w:p>
    <w:p>
      <w:pPr>
        <w:pBdr>
          <w:left w:val="single" w:color="C9A94E" w:sz="18" w:space="8"/>
        </w:pBdr>
        <w:spacing w:after="200" w:before="100"/>
        <w:ind w:left="200"/>
      </w:pPr>
      <w:r>
        <w:rPr>
          <w:b/>
          <w:bCs/>
          <w:color w:val="1F3864"/>
          <w:sz w:val="21"/>
          <w:szCs w:val="21"/>
        </w:rPr>
        <w:t xml:space="preserve">Strip out the re-rating and the full-program return falls from 23.6% nominal to 17.5% at the multiple actually paid — a meaningful gap, though nowhere near as extreme as Apple's collapse to near-zero over its most recent years.</w:t>
      </w:r>
    </w:p>
    <w:p>
      <w:pPr>
        <w:pStyle w:val="Heading1"/>
        <w:spacing w:after="140" w:before="340"/>
      </w:pPr>
      <w:r>
        <w:rPr>
          <w:b/>
          <w:bCs/>
          <w:color w:val="1F3864"/>
          <w:sz w:val="25"/>
          <w:szCs w:val="25"/>
        </w:rPr>
        <w:t xml:space="preserve">5 · Did They Buy When It Was Cheap?</w:t>
      </w:r>
    </w:p>
    <w:p>
      <w:pPr>
        <w:spacing w:after="150"/>
      </w:pPr>
      <w:r>
        <w:rPr>
          <w:sz w:val="20"/>
          <w:szCs w:val="20"/>
        </w:rPr>
        <w:t xml:space="preserve">Execution within the year — equal-weighted multiple paid against the equal-weighted market multiple, across the same years — was slightly better than average: Costco paid 33.55x against a market average of 34.32x, an edge of –2.2%. Allocation across years was mildly poor: weighted by dollars actually spent, the multiple paid rises to 35.89x, 7.0% above the equal-weighted figure — Costco spent progressively more as its shares got progressively more expensive, the same pattern Apple showed, though smaller in magnitude.</w:t>
      </w:r>
    </w:p>
    <w:p>
      <w:pPr>
        <w:pStyle w:val="Heading1"/>
        <w:spacing w:after="140" w:before="340"/>
      </w:pPr>
      <w:r>
        <w:rPr>
          <w:b/>
          <w:bCs/>
          <w:color w:val="1F3864"/>
          <w:sz w:val="25"/>
          <w:szCs w:val="25"/>
        </w:rPr>
        <w:t xml:space="preserve">6 · How Much Of It Was Just Paying The Staff</w:t>
      </w:r>
    </w:p>
    <w:p>
      <w:pPr>
        <w:spacing w:after="150"/>
      </w:pPr>
      <w:r>
        <w:rPr>
          <w:sz w:val="20"/>
          <w:szCs w:val="20"/>
        </w:rPr>
        <w:t xml:space="preserve">Shares issued under employee compensation plans were 24.2 million against 18.6 million retired — a dilution offset of 129.8%. At or above 100% the correct description is not a repurchase program at all: Costco issued MORE shares to employees than it retired from the market over this eleven-year window, and shares outstanding rose.</w:t>
      </w:r>
    </w:p>
    <w:p>
      <w:pPr>
        <w:spacing w:after="150"/>
      </w:pPr>
      <w:r>
        <w:rPr>
          <w:sz w:val="20"/>
          <w:szCs w:val="20"/>
        </w:rPr>
        <w:t xml:space="preserve">The wedge between what continuing shareholders actually gave up and what was charged to earnings: market value of shares delivered plus withholding tax paid, less employee proceeds, comes to $10,660mn against $6,966mn charged to earnings — a factor of 1.53x and a wedge of $3,694mn.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shd w:fill="FDF2D9" w:val="clear"/>
            <w:tcMar>
              <w:top w:type="dxa" w:w="100"/>
              <w:left w:type="dxa" w:w="160"/>
              <w:bottom w:type="dxa" w:w="100"/>
              <w:right w:type="dxa" w:w="160"/>
            </w:tcMar>
          </w:tcPr>
          <w:p>
            <w:r>
              <w:rPr>
                <w:b/>
                <w:bCs/>
                <w:color w:val="6B4E00"/>
                <w:sz w:val="18"/>
                <w:szCs w:val="18"/>
              </w:rPr>
              <w:t xml:space="preserve">Costco does not tag ProceedsFromIssuanceOfCommonStock at all. The $10,660mn economic-cost figure above credits employees with $0 of proceeds paid in — not because that is genuinely zero, but because the tag does not exist in Costco's filings. The true wedge is smaller than $3,694mn by an amount this study cannot measure.</w:t>
            </w:r>
          </w:p>
        </w:tc>
      </w:tr>
    </w:tbl>
    <w:p>
      <w:pPr>
        <w:pStyle w:val="Heading1"/>
        <w:spacing w:after="140" w:before="340"/>
      </w:pPr>
      <w:r>
        <w:rPr>
          <w:b/>
          <w:bCs/>
          <w:color w:val="1F3864"/>
          <w:sz w:val="25"/>
          <w:szCs w:val="25"/>
        </w:rPr>
        <w:t xml:space="preserve">7 · What It Cost To Remove A Share For Good — It Didn't Remove Any</w:t>
      </w:r>
    </w:p>
    <w:p>
      <w:pPr>
        <w:spacing w:after="150"/>
      </w:pPr>
      <w:r>
        <w:rPr>
          <w:sz w:val="20"/>
          <w:szCs w:val="20"/>
        </w:rPr>
        <w:t xml:space="preserve">Apple's and Home Depot's studies both compute a “net retirement cost” — cash divided by the NET reduction in shares outstanding, which answers what it cost to permanently remove one share. That measure requires shares outstanding to have fallen. Costco's did not: it rose by 5.6 million shares, or 1.27%, over the window.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500"/>
      </w:tblGrid>
      <w:tr>
        <w:trPr>
          <w:tblHeader/>
        </w:trPr>
        <w:tc>
          <w:tcPr>
            <w:tcW w:type="dxa" w:w="4600"/>
            <w:shd w:fill="1F3864" w:val="clear"/>
            <w:tcMar>
              <w:top w:type="dxa" w:w="50"/>
              <w:left w:type="dxa" w:w="80"/>
              <w:bottom w:type="dxa" w:w="50"/>
              <w:right w:type="dxa" w:w="80"/>
            </w:tcMar>
            <w:vAlign w:val="center"/>
          </w:tcPr>
          <w:p>
            <w:pPr>
              <w:jc w:val="left"/>
            </w:pPr>
            <w:r>
              <w:rPr>
                <w:b/>
                <w:bCs/>
                <w:color w:val="FFFFFF"/>
                <w:sz w:val="16"/>
                <w:szCs w:val="16"/>
              </w:rPr>
              <w:t xml:space="preserve">Quantity</w:t>
            </w:r>
          </w:p>
        </w:tc>
        <w:tc>
          <w:tcPr>
            <w:tcW w:type="dxa" w:w="2400"/>
            <w:shd w:fill="1F3864" w:val="clear"/>
            <w:tcMar>
              <w:top w:type="dxa" w:w="50"/>
              <w:left w:type="dxa" w:w="80"/>
              <w:bottom w:type="dxa" w:w="50"/>
              <w:right w:type="dxa" w:w="80"/>
            </w:tcMar>
            <w:vAlign w:val="center"/>
          </w:tcPr>
          <w:p>
            <w:pPr>
              <w:jc w:val="center"/>
            </w:pPr>
            <w:r>
              <w:rPr>
                <w:b/>
                <w:bCs/>
                <w:color w:val="FFFFFF"/>
                <w:sz w:val="16"/>
                <w:szCs w:val="16"/>
              </w:rPr>
              <w:t xml:space="preserve">Value</w:t>
            </w:r>
          </w:p>
        </w:tc>
        <w:tc>
          <w:tcPr>
            <w:tcW w:type="dxa" w:w="2500"/>
            <w:shd w:fill="1F3864" w:val="clear"/>
            <w:tcMar>
              <w:top w:type="dxa" w:w="50"/>
              <w:left w:type="dxa" w:w="80"/>
              <w:bottom w:type="dxa" w:w="50"/>
              <w:right w:type="dxa" w:w="80"/>
            </w:tcMar>
            <w:vAlign w:val="center"/>
          </w:tcPr>
          <w:p>
            <w:pPr>
              <w:jc w:val="left"/>
            </w:pPr>
            <w:r>
              <w:rPr>
                <w:b/>
                <w:bCs/>
                <w:color w:val="FFFFFF"/>
                <w:sz w:val="16"/>
                <w:szCs w:val="16"/>
              </w:rPr>
              <w:t xml:space="preserve">Note</w:t>
            </w:r>
          </w:p>
        </w:tc>
      </w:tr>
      <w:tr>
        <w:tc>
          <w:tcPr>
            <w:tcW w:type="dxa" w:w="4600"/>
            <w:shd w:fill="EEF2F7" w:val="clear"/>
            <w:tcMar>
              <w:top w:type="dxa" w:w="50"/>
              <w:left w:type="dxa" w:w="80"/>
              <w:bottom w:type="dxa" w:w="50"/>
              <w:right w:type="dxa" w:w="80"/>
            </w:tcMar>
            <w:vAlign w:val="center"/>
          </w:tcPr>
          <w:p>
            <w:pPr>
              <w:jc w:val="left"/>
            </w:pPr>
            <w:r>
              <w:rPr>
                <w:color w:val="000000"/>
                <w:sz w:val="18"/>
                <w:szCs w:val="18"/>
              </w:rPr>
              <w:t xml:space="preserve">Gross shares retired</w:t>
            </w:r>
          </w:p>
        </w:tc>
        <w:tc>
          <w:tcPr>
            <w:tcW w:type="dxa" w:w="2400"/>
            <w:shd w:fill="EEF2F7" w:val="clear"/>
            <w:tcMar>
              <w:top w:type="dxa" w:w="50"/>
              <w:left w:type="dxa" w:w="80"/>
              <w:bottom w:type="dxa" w:w="50"/>
              <w:right w:type="dxa" w:w="80"/>
            </w:tcMar>
            <w:vAlign w:val="center"/>
          </w:tcPr>
          <w:p>
            <w:pPr>
              <w:jc w:val="center"/>
            </w:pPr>
            <w:r>
              <w:rPr>
                <w:color w:val="000000"/>
                <w:sz w:val="18"/>
                <w:szCs w:val="18"/>
              </w:rPr>
              <w:t xml:space="preserve">18.6mn</w:t>
            </w:r>
          </w:p>
        </w:tc>
        <w:tc>
          <w:tcPr>
            <w:tcW w:type="dxa" w:w="2500"/>
            <w:shd w:fill="EEF2F7" w:val="clear"/>
            <w:tcMar>
              <w:top w:type="dxa" w:w="50"/>
              <w:left w:type="dxa" w:w="80"/>
              <w:bottom w:type="dxa" w:w="50"/>
              <w:right w:type="dxa" w:w="80"/>
            </w:tcMar>
            <w:vAlign w:val="center"/>
          </w:tcPr>
          <w:p>
            <w:pPr>
              <w:jc w:val="left"/>
            </w:pPr>
            <w:r>
              <w:rPr>
                <w:color w:val="000000"/>
                <w:sz w:val="18"/>
                <w:szCs w:val="18"/>
              </w:rPr>
              <w:t xml:space="preserve">from filings</w:t>
            </w:r>
          </w:p>
        </w:tc>
      </w:tr>
      <w:tr>
        <w:tc>
          <w:tcPr>
            <w:tcW w:type="dxa" w:w="4600"/>
            <w:tcMar>
              <w:top w:type="dxa" w:w="50"/>
              <w:left w:type="dxa" w:w="80"/>
              <w:bottom w:type="dxa" w:w="50"/>
              <w:right w:type="dxa" w:w="80"/>
            </w:tcMar>
            <w:vAlign w:val="center"/>
          </w:tcPr>
          <w:p>
            <w:pPr>
              <w:jc w:val="left"/>
            </w:pPr>
            <w:r>
              <w:rPr>
                <w:color w:val="000000"/>
                <w:sz w:val="18"/>
                <w:szCs w:val="18"/>
              </w:rPr>
              <w:t xml:space="preserve">Shares issued (residual)</w:t>
            </w:r>
          </w:p>
        </w:tc>
        <w:tc>
          <w:tcPr>
            <w:tcW w:type="dxa" w:w="2400"/>
            <w:tcMar>
              <w:top w:type="dxa" w:w="50"/>
              <w:left w:type="dxa" w:w="80"/>
              <w:bottom w:type="dxa" w:w="50"/>
              <w:right w:type="dxa" w:w="80"/>
            </w:tcMar>
            <w:vAlign w:val="center"/>
          </w:tcPr>
          <w:p>
            <w:pPr>
              <w:jc w:val="center"/>
            </w:pPr>
            <w:r>
              <w:rPr>
                <w:color w:val="000000"/>
                <w:sz w:val="18"/>
                <w:szCs w:val="18"/>
              </w:rPr>
              <w:t xml:space="preserve">24.2mn</w:t>
            </w:r>
          </w:p>
        </w:tc>
        <w:tc>
          <w:tcPr>
            <w:tcW w:type="dxa" w:w="2500"/>
            <w:tcMar>
              <w:top w:type="dxa" w:w="50"/>
              <w:left w:type="dxa" w:w="80"/>
              <w:bottom w:type="dxa" w:w="50"/>
              <w:right w:type="dxa" w:w="80"/>
            </w:tcMar>
            <w:vAlign w:val="center"/>
          </w:tcPr>
          <w:p>
            <w:pPr>
              <w:jc w:val="left"/>
            </w:pPr>
            <w:r>
              <w:rPr>
                <w:color w:val="000000"/>
                <w:sz w:val="18"/>
                <w:szCs w:val="18"/>
              </w:rPr>
              <w:t xml:space="preserve">employee plans</w:t>
            </w:r>
          </w:p>
        </w:tc>
      </w:tr>
      <w:tr>
        <w:tc>
          <w:tcPr>
            <w:tcW w:type="dxa" w:w="4600"/>
            <w:shd w:fill="EEF2F7" w:val="clear"/>
            <w:tcMar>
              <w:top w:type="dxa" w:w="50"/>
              <w:left w:type="dxa" w:w="80"/>
              <w:bottom w:type="dxa" w:w="50"/>
              <w:right w:type="dxa" w:w="80"/>
            </w:tcMar>
            <w:vAlign w:val="center"/>
          </w:tcPr>
          <w:p>
            <w:pPr>
              <w:jc w:val="left"/>
            </w:pPr>
            <w:r>
              <w:rPr>
                <w:color w:val="000000"/>
                <w:sz w:val="18"/>
                <w:szCs w:val="18"/>
              </w:rPr>
              <w:t xml:space="preserve">NET change in shares outstanding</w:t>
            </w:r>
          </w:p>
        </w:tc>
        <w:tc>
          <w:tcPr>
            <w:tcW w:type="dxa" w:w="2400"/>
            <w:shd w:fill="EEF2F7" w:val="clear"/>
            <w:tcMar>
              <w:top w:type="dxa" w:w="50"/>
              <w:left w:type="dxa" w:w="80"/>
              <w:bottom w:type="dxa" w:w="50"/>
              <w:right w:type="dxa" w:w="80"/>
            </w:tcMar>
            <w:vAlign w:val="center"/>
          </w:tcPr>
          <w:p>
            <w:pPr>
              <w:jc w:val="center"/>
            </w:pPr>
            <w:r>
              <w:rPr>
                <w:color w:val="000000"/>
                <w:sz w:val="18"/>
                <w:szCs w:val="18"/>
              </w:rPr>
              <w:t xml:space="preserve">+5.6mn (+1.27%)</w:t>
            </w:r>
          </w:p>
        </w:tc>
        <w:tc>
          <w:tcPr>
            <w:tcW w:type="dxa" w:w="2500"/>
            <w:shd w:fill="EEF2F7" w:val="clear"/>
            <w:tcMar>
              <w:top w:type="dxa" w:w="50"/>
              <w:left w:type="dxa" w:w="80"/>
              <w:bottom w:type="dxa" w:w="50"/>
              <w:right w:type="dxa" w:w="80"/>
            </w:tcMar>
            <w:vAlign w:val="center"/>
          </w:tcPr>
          <w:p>
            <w:pPr>
              <w:jc w:val="left"/>
            </w:pPr>
            <w:r>
              <w:rPr>
                <w:color w:val="000000"/>
                <w:sz w:val="18"/>
                <w:szCs w:val="18"/>
              </w:rPr>
              <w:t xml:space="preserve">shares outstanding ROSE</w:t>
            </w:r>
          </w:p>
        </w:tc>
      </w:tr>
      <w:tr>
        <w:tc>
          <w:tcPr>
            <w:tcW w:type="dxa" w:w="4600"/>
            <w:shd w:fill="DFEAF4" w:val="clear"/>
            <w:tcMar>
              <w:top w:type="dxa" w:w="50"/>
              <w:left w:type="dxa" w:w="80"/>
              <w:bottom w:type="dxa" w:w="50"/>
              <w:right w:type="dxa" w:w="80"/>
            </w:tcMar>
            <w:vAlign w:val="center"/>
          </w:tcPr>
          <w:p>
            <w:pPr>
              <w:jc w:val="left"/>
            </w:pPr>
            <w:r>
              <w:rPr>
                <w:color w:val="000000"/>
                <w:sz w:val="18"/>
                <w:szCs w:val="18"/>
              </w:rPr>
              <w:t xml:space="preserve">A) cash ÷ GROSS retired</w:t>
            </w:r>
          </w:p>
        </w:tc>
        <w:tc>
          <w:tcPr>
            <w:tcW w:type="dxa" w:w="2400"/>
            <w:shd w:fill="DFEAF4" w:val="clear"/>
            <w:tcMar>
              <w:top w:type="dxa" w:w="50"/>
              <w:left w:type="dxa" w:w="80"/>
              <w:bottom w:type="dxa" w:w="50"/>
              <w:right w:type="dxa" w:w="80"/>
            </w:tcMar>
            <w:vAlign w:val="center"/>
          </w:tcPr>
          <w:p>
            <w:pPr>
              <w:jc w:val="center"/>
            </w:pPr>
            <w:r>
              <w:rPr>
                <w:color w:val="000000"/>
                <w:sz w:val="18"/>
                <w:szCs w:val="18"/>
              </w:rPr>
              <w:t xml:space="preserve">$290.78</w:t>
            </w:r>
          </w:p>
        </w:tc>
        <w:tc>
          <w:tcPr>
            <w:tcW w:type="dxa" w:w="2500"/>
            <w:shd w:fill="DFEAF4" w:val="clear"/>
            <w:tcMar>
              <w:top w:type="dxa" w:w="50"/>
              <w:left w:type="dxa" w:w="80"/>
              <w:bottom w:type="dxa" w:w="50"/>
              <w:right w:type="dxa" w:w="80"/>
            </w:tcMar>
            <w:vAlign w:val="center"/>
          </w:tcPr>
          <w:p>
            <w:pPr>
              <w:jc w:val="left"/>
            </w:pPr>
            <w:r>
              <w:rPr>
                <w:color w:val="000000"/>
                <w:sz w:val="18"/>
                <w:szCs w:val="18"/>
              </w:rPr>
              <w:t xml:space="preserve">the only well-defined measure here</w:t>
            </w:r>
          </w:p>
        </w:tc>
      </w:tr>
      <w:tr>
        <w:tc>
          <w:tcPr>
            <w:tcW w:type="dxa" w:w="4600"/>
            <w:tcMar>
              <w:top w:type="dxa" w:w="50"/>
              <w:left w:type="dxa" w:w="80"/>
              <w:bottom w:type="dxa" w:w="50"/>
              <w:right w:type="dxa" w:w="80"/>
            </w:tcMar>
            <w:vAlign w:val="center"/>
          </w:tcPr>
          <w:p>
            <w:pPr>
              <w:jc w:val="left"/>
            </w:pPr>
            <w:r>
              <w:rPr>
                <w:color w:val="000000"/>
                <w:sz w:val="18"/>
                <w:szCs w:val="18"/>
              </w:rPr>
              <w:t xml:space="preserve">B, C, D (net-reduction based)</w:t>
            </w:r>
          </w:p>
        </w:tc>
        <w:tc>
          <w:tcPr>
            <w:tcW w:type="dxa" w:w="2400"/>
            <w:tcMar>
              <w:top w:type="dxa" w:w="50"/>
              <w:left w:type="dxa" w:w="80"/>
              <w:bottom w:type="dxa" w:w="50"/>
              <w:right w:type="dxa" w:w="80"/>
            </w:tcMar>
            <w:vAlign w:val="center"/>
          </w:tcPr>
          <w:p>
            <w:pPr>
              <w:jc w:val="center"/>
            </w:pPr>
            <w:r>
              <w:rPr>
                <w:color w:val="000000"/>
                <w:sz w:val="18"/>
                <w:szCs w:val="18"/>
              </w:rPr>
              <w:t xml:space="preserve">not meaningful</w:t>
            </w:r>
          </w:p>
        </w:tc>
        <w:tc>
          <w:tcPr>
            <w:tcW w:type="dxa" w:w="2500"/>
            <w:tcMar>
              <w:top w:type="dxa" w:w="50"/>
              <w:left w:type="dxa" w:w="80"/>
              <w:bottom w:type="dxa" w:w="50"/>
              <w:right w:type="dxa" w:w="80"/>
            </w:tcMar>
            <w:vAlign w:val="center"/>
          </w:tcPr>
          <w:p>
            <w:pPr>
              <w:jc w:val="left"/>
            </w:pPr>
            <w:r>
              <w:rPr>
                <w:color w:val="000000"/>
                <w:sz w:val="18"/>
                <w:szCs w:val="18"/>
              </w:rPr>
              <w:t xml:space="preserve">denominator is a net INCREASE, not a reduction</w:t>
            </w:r>
          </w:p>
        </w:tc>
      </w:tr>
    </w:tbl>
    <w:p>
      <w:pPr>
        <w:spacing w:after="150"/>
      </w:pPr>
      <w:r>
        <w:rPr>
          <w:sz w:val="20"/>
          <w:szCs w:val="20"/>
        </w:rPr>
        <w:t xml:space="preserve">There is no meaningful net retirement cost to report here, and reporting one anyway — dividing by a small or negative net change — is precisely the failure mode this template's own reporting guard exists to prevent (the same guard that suppresses the return on incremental capital when its denominator is unreliable). The honest statement is the one in the table: gross shares were retired at a real cost, but on net, more shares came into existence than went out.</w:t>
      </w:r>
    </w:p>
    <w:p>
      <w:pPr>
        <w:pStyle w:val="Heading1"/>
        <w:spacing w:after="140" w:before="340"/>
      </w:pPr>
      <w:r>
        <w:rPr>
          <w:b/>
          <w:bCs/>
          <w:color w:val="1F3864"/>
          <w:sz w:val="25"/>
          <w:szCs w:val="25"/>
        </w:rPr>
        <w:t xml:space="preserve">8 · Where The Money Came From</w:t>
      </w:r>
    </w:p>
    <w:p>
      <w:pPr>
        <w:spacing w:after="150"/>
      </w:pPr>
      <w:r>
        <w:rPr>
          <w:sz w:val="20"/>
          <w:szCs w:val="20"/>
        </w:rPr>
        <w:t xml:space="preserve">Of $5,421mn spent, all of it came from retained earnings — the retained-earnings pool over this window (net income less dividends) was $20,368mn, over three and a half times the repurchase spending. None of it was leverage-funded: Costco's net financial obligations FELL by $7,728mn over the same period (net financial assets grew), the opposite direction from Apple, which levered up to fund part of its program.</w:t>
      </w:r>
    </w:p>
    <w:p>
      <w:pPr>
        <w:spacing w:after="150"/>
      </w:pPr>
      <w:r>
        <w:rPr>
          <w:sz w:val="20"/>
          <w:szCs w:val="20"/>
        </w:rPr>
        <w:t xml:space="preserve">The channel attribution confirms this in earnings-per-share terms. Diluted EPS grew $12.84 over the window; essentially all of it (100.4%, or +$12.89) came from earnings — $12.05 operating, $0.76 financial — and the share-count channel actually SUBTRACTED $0.05, or –0.4%. A small residual (about $0.07 per share, under 1% of total growth) is attributable to Costco's noncontrolling interest in its Mexico joint venture, which creates a gap between net income and pretax income less the tax provision in most years of this window — disclosed here rather than smoothed away.</w:t>
      </w:r>
    </w:p>
    <w:p>
      <w:pPr>
        <w:pBdr>
          <w:left w:val="single" w:color="C9A94E" w:sz="18" w:space="8"/>
        </w:pBdr>
        <w:spacing w:after="200" w:before="100"/>
        <w:ind w:left="200"/>
      </w:pPr>
      <w:r>
        <w:rPr>
          <w:b/>
          <w:bCs/>
          <w:color w:val="1F3864"/>
          <w:sz w:val="21"/>
          <w:szCs w:val="21"/>
        </w:rPr>
        <w:t xml:space="preserve">Unlike Apple, where the buyback funded nearly 30% of earnings-per-share growth, Costco's repurchases contributed nothing to EPS growth over FY2015–2025. The entire number was the business.</w:t>
      </w:r>
    </w:p>
    <w:p>
      <w:pPr>
        <w:pStyle w:val="Heading1"/>
        <w:spacing w:after="140" w:before="340"/>
      </w:pPr>
      <w:r>
        <w:rPr>
          <w:b/>
          <w:bCs/>
          <w:color w:val="1F3864"/>
          <w:sz w:val="25"/>
          <w:szCs w:val="25"/>
        </w:rPr>
        <w:t xml:space="preserve">9 · Sources And Uses Of Incremental Capital</w:t>
      </w:r>
    </w:p>
    <w:p>
      <w:pPr>
        <w:spacing w:after="150"/>
      </w:pPr>
      <w:r>
        <w:rPr>
          <w:sz w:val="20"/>
          <w:szCs w:val="20"/>
        </w:rPr>
        <w:t xml:space="preserve">Where did Costco's capital actually go over this window, and what did each piece earn? The operating slice (increase in net operating assets, $8,840mn) generated a return on incremental operating capital of 60.5% (change in after-tax operating income of $5,351mn against it, FY2015–FY2025). The repurchase slice earned a forward real yield of 2.7–4.6% across the years shown in section 3 — an order of magnitude lower.</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tblGrid>
      <w:tr>
        <w:trPr>
          <w:tblHeader/>
        </w:trPr>
        <w:tc>
          <w:tcPr>
            <w:tcW w:type="dxa" w:w="5200"/>
            <w:shd w:fill="1F3864" w:val="clear"/>
            <w:tcMar>
              <w:top w:type="dxa" w:w="50"/>
              <w:left w:type="dxa" w:w="80"/>
              <w:bottom w:type="dxa" w:w="50"/>
              <w:right w:type="dxa" w:w="80"/>
            </w:tcMar>
            <w:vAlign w:val="center"/>
          </w:tcPr>
          <w:p>
            <w:pPr>
              <w:jc w:val="left"/>
            </w:pPr>
            <w:r>
              <w:rPr>
                <w:b/>
                <w:bCs/>
                <w:color w:val="FFFFFF"/>
                <w:sz w:val="16"/>
                <w:szCs w:val="16"/>
              </w:rPr>
              <w:t xml:space="preserve">Sources and Uses, FY2015-FY2025 ($mn)</w:t>
            </w:r>
          </w:p>
        </w:tc>
        <w:tc>
          <w:tcPr>
            <w:tcW w:type="dxa" w:w="2300"/>
            <w:shd w:fill="1F3864" w:val="clear"/>
            <w:tcMar>
              <w:top w:type="dxa" w:w="50"/>
              <w:left w:type="dxa" w:w="80"/>
              <w:bottom w:type="dxa" w:w="50"/>
              <w:right w:type="dxa" w:w="80"/>
            </w:tcMar>
            <w:vAlign w:val="center"/>
          </w:tcPr>
          <w:p>
            <w:pPr>
              <w:jc w:val="center"/>
            </w:pPr>
            <w:r>
              <w:rPr>
                <w:b/>
                <w:bCs/>
                <w:color w:val="FFFFFF"/>
                <w:sz w:val="16"/>
                <w:szCs w:val="16"/>
              </w:rPr>
              <w:t xml:space="preserve">Value</w:t>
            </w:r>
          </w:p>
        </w:tc>
      </w:tr>
      <w:tr>
        <w:tc>
          <w:tcPr>
            <w:tcW w:type="dxa" w:w="5200"/>
            <w:shd w:fill="E4EAF0" w:val="clear"/>
            <w:tcMar>
              <w:top w:type="dxa" w:w="60"/>
              <w:left w:type="dxa" w:w="80"/>
              <w:bottom w:type="dxa" w:w="60"/>
              <w:right w:type="dxa" w:w="80"/>
            </w:tcMar>
          </w:tcPr>
          <w:p>
            <w:r>
              <w:rPr>
                <w:b/>
                <w:bCs/>
                <w:color w:val="1F3864"/>
                <w:sz w:val="16"/>
                <w:szCs w:val="16"/>
              </w:rPr>
              <w:t xml:space="preserve">SOURCES</w:t>
            </w:r>
          </w:p>
        </w:tc>
        <w:tc>
          <w:tcPr>
            <w:tcW w:type="dxa" w:w="2300"/>
            <w:shd w:fill="E4EAF0" w:val="clear"/>
          </w:tcPr>
          <w:p>
            <w:r>
              <w:t xml:space="preserve"/>
            </w:r>
          </w:p>
        </w:tc>
      </w:tr>
      <w:tr>
        <w:tc>
          <w:tcPr>
            <w:tcW w:type="dxa" w:w="5200"/>
            <w:tcMar>
              <w:top w:type="dxa" w:w="50"/>
              <w:left w:type="dxa" w:w="80"/>
              <w:bottom w:type="dxa" w:w="50"/>
              <w:right w:type="dxa" w:w="80"/>
            </w:tcMar>
            <w:vAlign w:val="center"/>
          </w:tcPr>
          <w:p>
            <w:pPr>
              <w:jc w:val="left"/>
            </w:pPr>
            <w:r>
              <w:rPr>
                <w:color w:val="000000"/>
                <w:sz w:val="18"/>
                <w:szCs w:val="18"/>
              </w:rPr>
              <w:t xml:space="preserve">Retained earnings, after dividends</w:t>
            </w:r>
          </w:p>
        </w:tc>
        <w:tc>
          <w:tcPr>
            <w:tcW w:type="dxa" w:w="2300"/>
            <w:tcMar>
              <w:top w:type="dxa" w:w="50"/>
              <w:left w:type="dxa" w:w="80"/>
              <w:bottom w:type="dxa" w:w="50"/>
              <w:right w:type="dxa" w:w="80"/>
            </w:tcMar>
            <w:vAlign w:val="center"/>
          </w:tcPr>
          <w:p>
            <w:pPr>
              <w:jc w:val="center"/>
            </w:pPr>
            <w:r>
              <w:rPr>
                <w:color w:val="000000"/>
                <w:sz w:val="18"/>
                <w:szCs w:val="18"/>
              </w:rPr>
              <w:t xml:space="preserve">20,368</w:t>
            </w:r>
          </w:p>
        </w:tc>
      </w:tr>
      <w:tr>
        <w:tc>
          <w:tcPr>
            <w:tcW w:type="dxa" w:w="5200"/>
            <w:shd w:fill="EEF2F7" w:val="clear"/>
            <w:tcMar>
              <w:top w:type="dxa" w:w="50"/>
              <w:left w:type="dxa" w:w="80"/>
              <w:bottom w:type="dxa" w:w="50"/>
              <w:right w:type="dxa" w:w="80"/>
            </w:tcMar>
            <w:vAlign w:val="center"/>
          </w:tcPr>
          <w:p>
            <w:pPr>
              <w:jc w:val="left"/>
            </w:pPr>
            <w:r>
              <w:rPr>
                <w:color w:val="000000"/>
                <w:sz w:val="18"/>
                <w:szCs w:val="18"/>
              </w:rPr>
              <w:t xml:space="preserve">Share-based compensation, non-cash</w:t>
            </w:r>
          </w:p>
        </w:tc>
        <w:tc>
          <w:tcPr>
            <w:tcW w:type="dxa" w:w="2300"/>
            <w:shd w:fill="EEF2F7" w:val="clear"/>
            <w:tcMar>
              <w:top w:type="dxa" w:w="50"/>
              <w:left w:type="dxa" w:w="80"/>
              <w:bottom w:type="dxa" w:w="50"/>
              <w:right w:type="dxa" w:w="80"/>
            </w:tcMar>
            <w:vAlign w:val="center"/>
          </w:tcPr>
          <w:p>
            <w:pPr>
              <w:jc w:val="center"/>
            </w:pPr>
            <w:r>
              <w:rPr>
                <w:color w:val="000000"/>
                <w:sz w:val="18"/>
                <w:szCs w:val="18"/>
              </w:rPr>
              <w:t xml:space="preserve">6,966</w:t>
            </w:r>
          </w:p>
        </w:tc>
      </w:tr>
      <w:tr>
        <w:tc>
          <w:tcPr>
            <w:tcW w:type="dxa" w:w="5200"/>
            <w:tcMar>
              <w:top w:type="dxa" w:w="50"/>
              <w:left w:type="dxa" w:w="80"/>
              <w:bottom w:type="dxa" w:w="50"/>
              <w:right w:type="dxa" w:w="80"/>
            </w:tcMar>
            <w:vAlign w:val="center"/>
          </w:tcPr>
          <w:p>
            <w:pPr>
              <w:jc w:val="left"/>
            </w:pPr>
            <w:r>
              <w:rPr>
                <w:color w:val="000000"/>
                <w:sz w:val="18"/>
                <w:szCs w:val="18"/>
              </w:rPr>
              <w:t xml:space="preserve">Less: cash tax on employee equity awards</w:t>
            </w:r>
          </w:p>
        </w:tc>
        <w:tc>
          <w:tcPr>
            <w:tcW w:type="dxa" w:w="2300"/>
            <w:tcMar>
              <w:top w:type="dxa" w:w="50"/>
              <w:left w:type="dxa" w:w="80"/>
              <w:bottom w:type="dxa" w:w="50"/>
              <w:right w:type="dxa" w:w="80"/>
            </w:tcMar>
            <w:vAlign w:val="center"/>
          </w:tcPr>
          <w:p>
            <w:pPr>
              <w:jc w:val="center"/>
            </w:pPr>
            <w:r>
              <w:rPr>
                <w:color w:val="000000"/>
                <w:sz w:val="18"/>
                <w:szCs w:val="18"/>
              </w:rPr>
              <w:t xml:space="preserve">(3,105)</w:t>
            </w:r>
          </w:p>
        </w:tc>
      </w:tr>
      <w:tr>
        <w:tc>
          <w:tcPr>
            <w:tcW w:type="dxa" w:w="5200"/>
            <w:shd w:fill="EEF2F7" w:val="clear"/>
            <w:tcMar>
              <w:top w:type="dxa" w:w="50"/>
              <w:left w:type="dxa" w:w="80"/>
              <w:bottom w:type="dxa" w:w="50"/>
              <w:right w:type="dxa" w:w="80"/>
            </w:tcMar>
            <w:vAlign w:val="center"/>
          </w:tcPr>
          <w:p>
            <w:pPr>
              <w:jc w:val="left"/>
            </w:pPr>
            <w:r>
              <w:rPr>
                <w:color w:val="000000"/>
                <w:sz w:val="18"/>
                <w:szCs w:val="18"/>
              </w:rPr>
              <w:t xml:space="preserve">Equity plan proceeds</w:t>
            </w:r>
          </w:p>
        </w:tc>
        <w:tc>
          <w:tcPr>
            <w:tcW w:type="dxa" w:w="2300"/>
            <w:shd w:fill="EEF2F7" w:val="clear"/>
            <w:tcMar>
              <w:top w:type="dxa" w:w="50"/>
              <w:left w:type="dxa" w:w="80"/>
              <w:bottom w:type="dxa" w:w="50"/>
              <w:right w:type="dxa" w:w="80"/>
            </w:tcMar>
            <w:vAlign w:val="center"/>
          </w:tcPr>
          <w:p>
            <w:pPr>
              <w:jc w:val="center"/>
            </w:pPr>
            <w:r>
              <w:rPr>
                <w:color w:val="000000"/>
                <w:sz w:val="18"/>
                <w:szCs w:val="18"/>
              </w:rPr>
              <w:t xml:space="preserve">0 (not tagged)</w:t>
            </w:r>
          </w:p>
        </w:tc>
      </w:tr>
      <w:tr>
        <w:tc>
          <w:tcPr>
            <w:tcW w:type="dxa" w:w="5200"/>
            <w:shd w:fill="DFEAF4" w:val="clear"/>
            <w:tcMar>
              <w:top w:type="dxa" w:w="50"/>
              <w:left w:type="dxa" w:w="80"/>
              <w:bottom w:type="dxa" w:w="50"/>
              <w:right w:type="dxa" w:w="80"/>
            </w:tcMar>
            <w:vAlign w:val="center"/>
          </w:tcPr>
          <w:p>
            <w:pPr>
              <w:jc w:val="left"/>
            </w:pPr>
            <w:r>
              <w:rPr>
                <w:color w:val="000000"/>
                <w:sz w:val="18"/>
                <w:szCs w:val="18"/>
              </w:rPr>
              <w:t xml:space="preserve">Total sources</w:t>
            </w:r>
          </w:p>
        </w:tc>
        <w:tc>
          <w:tcPr>
            <w:tcW w:type="dxa" w:w="2300"/>
            <w:shd w:fill="DFEAF4" w:val="clear"/>
            <w:tcMar>
              <w:top w:type="dxa" w:w="50"/>
              <w:left w:type="dxa" w:w="80"/>
              <w:bottom w:type="dxa" w:w="50"/>
              <w:right w:type="dxa" w:w="80"/>
            </w:tcMar>
            <w:vAlign w:val="center"/>
          </w:tcPr>
          <w:p>
            <w:pPr>
              <w:jc w:val="center"/>
            </w:pPr>
            <w:r>
              <w:rPr>
                <w:color w:val="000000"/>
                <w:sz w:val="18"/>
                <w:szCs w:val="18"/>
              </w:rPr>
              <w:t xml:space="preserve">24,229</w:t>
            </w:r>
          </w:p>
        </w:tc>
      </w:tr>
      <w:tr>
        <w:tc>
          <w:tcPr>
            <w:tcW w:type="dxa" w:w="5200"/>
            <w:shd w:fill="E4EAF0" w:val="clear"/>
            <w:tcMar>
              <w:top w:type="dxa" w:w="60"/>
              <w:left w:type="dxa" w:w="80"/>
              <w:bottom w:type="dxa" w:w="60"/>
              <w:right w:type="dxa" w:w="80"/>
            </w:tcMar>
          </w:tcPr>
          <w:p>
            <w:r>
              <w:rPr>
                <w:b/>
                <w:bCs/>
                <w:color w:val="1F3864"/>
                <w:sz w:val="16"/>
                <w:szCs w:val="16"/>
              </w:rPr>
              <w:t xml:space="preserve">USES</w:t>
            </w:r>
          </w:p>
        </w:tc>
        <w:tc>
          <w:tcPr>
            <w:tcW w:type="dxa" w:w="2300"/>
            <w:shd w:fill="E4EAF0" w:val="clear"/>
          </w:tcPr>
          <w:p>
            <w:r>
              <w:t xml:space="preserve"/>
            </w:r>
          </w:p>
        </w:tc>
      </w:tr>
      <w:tr>
        <w:tc>
          <w:tcPr>
            <w:tcW w:type="dxa" w:w="5200"/>
            <w:tcMar>
              <w:top w:type="dxa" w:w="50"/>
              <w:left w:type="dxa" w:w="80"/>
              <w:bottom w:type="dxa" w:w="50"/>
              <w:right w:type="dxa" w:w="80"/>
            </w:tcMar>
            <w:vAlign w:val="center"/>
          </w:tcPr>
          <w:p>
            <w:pPr>
              <w:jc w:val="left"/>
            </w:pPr>
            <w:r>
              <w:rPr>
                <w:color w:val="000000"/>
                <w:sz w:val="18"/>
                <w:szCs w:val="18"/>
              </w:rPr>
              <w:t xml:space="preserve">Share repurchases</w:t>
            </w:r>
          </w:p>
        </w:tc>
        <w:tc>
          <w:tcPr>
            <w:tcW w:type="dxa" w:w="2300"/>
            <w:tcMar>
              <w:top w:type="dxa" w:w="50"/>
              <w:left w:type="dxa" w:w="80"/>
              <w:bottom w:type="dxa" w:w="50"/>
              <w:right w:type="dxa" w:w="80"/>
            </w:tcMar>
            <w:vAlign w:val="center"/>
          </w:tcPr>
          <w:p>
            <w:pPr>
              <w:jc w:val="center"/>
            </w:pPr>
            <w:r>
              <w:rPr>
                <w:color w:val="000000"/>
                <w:sz w:val="18"/>
                <w:szCs w:val="18"/>
              </w:rPr>
              <w:t xml:space="preserve">5,421</w:t>
            </w:r>
          </w:p>
        </w:tc>
      </w:tr>
      <w:tr>
        <w:tc>
          <w:tcPr>
            <w:tcW w:type="dxa" w:w="5200"/>
            <w:shd w:fill="EEF2F7" w:val="clear"/>
            <w:tcMar>
              <w:top w:type="dxa" w:w="50"/>
              <w:left w:type="dxa" w:w="80"/>
              <w:bottom w:type="dxa" w:w="50"/>
              <w:right w:type="dxa" w:w="80"/>
            </w:tcMar>
            <w:vAlign w:val="center"/>
          </w:tcPr>
          <w:p>
            <w:pPr>
              <w:jc w:val="left"/>
            </w:pPr>
            <w:r>
              <w:rPr>
                <w:color w:val="000000"/>
                <w:sz w:val="18"/>
                <w:szCs w:val="18"/>
              </w:rPr>
              <w:t xml:space="preserve">Increase in net operating assets</w:t>
            </w:r>
          </w:p>
        </w:tc>
        <w:tc>
          <w:tcPr>
            <w:tcW w:type="dxa" w:w="2300"/>
            <w:shd w:fill="EEF2F7" w:val="clear"/>
            <w:tcMar>
              <w:top w:type="dxa" w:w="50"/>
              <w:left w:type="dxa" w:w="80"/>
              <w:bottom w:type="dxa" w:w="50"/>
              <w:right w:type="dxa" w:w="80"/>
            </w:tcMar>
            <w:vAlign w:val="center"/>
          </w:tcPr>
          <w:p>
            <w:pPr>
              <w:jc w:val="center"/>
            </w:pPr>
            <w:r>
              <w:rPr>
                <w:color w:val="000000"/>
                <w:sz w:val="18"/>
                <w:szCs w:val="18"/>
              </w:rPr>
              <w:t xml:space="preserve">8,840</w:t>
            </w:r>
          </w:p>
        </w:tc>
      </w:tr>
      <w:tr>
        <w:tc>
          <w:tcPr>
            <w:tcW w:type="dxa" w:w="5200"/>
            <w:tcMar>
              <w:top w:type="dxa" w:w="50"/>
              <w:left w:type="dxa" w:w="80"/>
              <w:bottom w:type="dxa" w:w="50"/>
              <w:right w:type="dxa" w:w="80"/>
            </w:tcMar>
            <w:vAlign w:val="center"/>
          </w:tcPr>
          <w:p>
            <w:pPr>
              <w:jc w:val="left"/>
            </w:pPr>
            <w:r>
              <w:rPr>
                <w:color w:val="000000"/>
                <w:sz w:val="18"/>
                <w:szCs w:val="18"/>
              </w:rPr>
              <w:t xml:space="preserve">Increase in net financial assets (leverage fell)</w:t>
            </w:r>
          </w:p>
        </w:tc>
        <w:tc>
          <w:tcPr>
            <w:tcW w:type="dxa" w:w="2300"/>
            <w:tcMar>
              <w:top w:type="dxa" w:w="50"/>
              <w:left w:type="dxa" w:w="80"/>
              <w:bottom w:type="dxa" w:w="50"/>
              <w:right w:type="dxa" w:w="80"/>
            </w:tcMar>
            <w:vAlign w:val="center"/>
          </w:tcPr>
          <w:p>
            <w:pPr>
              <w:jc w:val="center"/>
            </w:pPr>
            <w:r>
              <w:rPr>
                <w:color w:val="000000"/>
                <w:sz w:val="18"/>
                <w:szCs w:val="18"/>
              </w:rPr>
              <w:t xml:space="preserve">7,728</w:t>
            </w:r>
          </w:p>
        </w:tc>
      </w:tr>
      <w:tr>
        <w:tc>
          <w:tcPr>
            <w:tcW w:type="dxa" w:w="5200"/>
            <w:shd w:fill="FDF2D9" w:val="clear"/>
            <w:tcMar>
              <w:top w:type="dxa" w:w="50"/>
              <w:left w:type="dxa" w:w="80"/>
              <w:bottom w:type="dxa" w:w="50"/>
              <w:right w:type="dxa" w:w="80"/>
            </w:tcMar>
            <w:vAlign w:val="center"/>
          </w:tcPr>
          <w:p>
            <w:pPr>
              <w:jc w:val="left"/>
            </w:pPr>
            <w:r>
              <w:rPr>
                <w:color w:val="000000"/>
                <w:sz w:val="18"/>
                <w:szCs w:val="18"/>
              </w:rPr>
              <w:t xml:space="preserve">Unreconciled residual</w:t>
            </w:r>
          </w:p>
        </w:tc>
        <w:tc>
          <w:tcPr>
            <w:tcW w:type="dxa" w:w="2300"/>
            <w:shd w:fill="FDF2D9" w:val="clear"/>
            <w:tcMar>
              <w:top w:type="dxa" w:w="50"/>
              <w:left w:type="dxa" w:w="80"/>
              <w:bottom w:type="dxa" w:w="50"/>
              <w:right w:type="dxa" w:w="80"/>
            </w:tcMar>
            <w:vAlign w:val="center"/>
          </w:tcPr>
          <w:p>
            <w:pPr>
              <w:jc w:val="center"/>
            </w:pPr>
            <w:r>
              <w:rPr>
                <w:color w:val="000000"/>
                <w:sz w:val="18"/>
                <w:szCs w:val="18"/>
              </w:rPr>
              <w:t xml:space="preserve">2,240</w:t>
            </w:r>
          </w:p>
        </w:tc>
      </w:tr>
    </w:tbl>
    <w:p>
      <w:pPr>
        <w:spacing w:after="140"/>
      </w:pPr>
      <w:r>
        <w:rPr>
          <w:i/>
          <w:iCs/>
          <w:color w:val="666666"/>
          <w:sz w:val="17"/>
          <w:szCs w:val="17"/>
        </w:rPr>
        <w:t xml:space="preserve">This reconciliation is a rougher check than the equity-roll-forward-verified version in the Apple study — it was not independently confirmed against the balance sheet identity, and the $2,240mn residual (about 9% of total sources) most likely reflects other comprehensive income, foreign-currency translation on Costco's international operations, and the missing equity-plan-proceeds tag, none of which are separately modeled here. Read the shape, not the last digit.</w:t>
      </w:r>
    </w:p>
    <w:p>
      <w:pPr>
        <w:pStyle w:val="Heading1"/>
        <w:spacing w:after="140" w:before="340"/>
      </w:pPr>
      <w:r>
        <w:rPr>
          <w:b/>
          <w:bCs/>
          <w:color w:val="1F3864"/>
          <w:sz w:val="25"/>
          <w:szCs w:val="25"/>
        </w:rPr>
        <w:t xml:space="preserve">10 · The Capital Base The Repurchases Consumed</w:t>
      </w:r>
    </w:p>
    <w:p>
      <w:pPr>
        <w:spacing w:after="150"/>
      </w:pPr>
      <w:r>
        <w:rPr>
          <w:sz w:val="20"/>
          <w:szCs w:val="20"/>
        </w:rPr>
        <w:t xml:space="preserve">Reported return on equity rises mechanically as repurchases consume the equity base, so it is worth restoring: adding back repurchase cash (net of equity plan proceeds, which are $0 here because the tag is missing) to reported equity gives the Real Capital Base.</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750"/>
        <w:gridCol w:w="1650"/>
        <w:gridCol w:w="1900"/>
        <w:gridCol w:w="1900"/>
      </w:tblGrid>
      <w:tr>
        <w:trPr>
          <w:tblHeader/>
        </w:trPr>
        <w:tc>
          <w:tcPr>
            <w:tcW w:type="dxa" w:w="750"/>
            <w:shd w:fill="1F3864" w:val="clear"/>
            <w:tcMar>
              <w:top w:type="dxa" w:w="50"/>
              <w:left w:type="dxa" w:w="80"/>
              <w:bottom w:type="dxa" w:w="50"/>
              <w:right w:type="dxa" w:w="80"/>
            </w:tcMar>
            <w:vAlign w:val="center"/>
          </w:tcPr>
          <w:p>
            <w:pPr>
              <w:jc w:val="center"/>
            </w:pPr>
            <w:r>
              <w:rPr>
                <w:b/>
                <w:bCs/>
                <w:color w:val="FFFFFF"/>
                <w:sz w:val="16"/>
                <w:szCs w:val="16"/>
              </w:rPr>
              <w:t xml:space="preserve">FY</w:t>
            </w:r>
          </w:p>
        </w:tc>
        <w:tc>
          <w:tcPr>
            <w:tcW w:type="dxa" w:w="1650"/>
            <w:shd w:fill="1F3864" w:val="clear"/>
            <w:tcMar>
              <w:top w:type="dxa" w:w="50"/>
              <w:left w:type="dxa" w:w="80"/>
              <w:bottom w:type="dxa" w:w="50"/>
              <w:right w:type="dxa" w:w="80"/>
            </w:tcMar>
            <w:vAlign w:val="center"/>
          </w:tcPr>
          <w:p>
            <w:pPr>
              <w:jc w:val="center"/>
            </w:pPr>
            <w:r>
              <w:rPr>
                <w:b/>
                <w:bCs/>
                <w:color w:val="FFFFFF"/>
                <w:sz w:val="16"/>
                <w:szCs w:val="16"/>
              </w:rPr>
              <w:t xml:space="preserve">Reported equity</w:t>
            </w:r>
          </w:p>
        </w:tc>
        <w:tc>
          <w:tcPr>
            <w:tcW w:type="dxa" w:w="1900"/>
            <w:shd w:fill="1F3864" w:val="clear"/>
            <w:tcMar>
              <w:top w:type="dxa" w:w="50"/>
              <w:left w:type="dxa" w:w="80"/>
              <w:bottom w:type="dxa" w:w="50"/>
              <w:right w:type="dxa" w:w="80"/>
            </w:tcMar>
            <w:vAlign w:val="center"/>
          </w:tcPr>
          <w:p>
            <w:pPr>
              <w:jc w:val="center"/>
            </w:pPr>
            <w:r>
              <w:rPr>
                <w:b/>
                <w:bCs/>
                <w:color w:val="FFFFFF"/>
                <w:sz w:val="16"/>
                <w:szCs w:val="16"/>
              </w:rPr>
              <w:t xml:space="preserve">Cum. restoration</w:t>
            </w:r>
          </w:p>
        </w:tc>
        <w:tc>
          <w:tcPr>
            <w:tcW w:type="dxa" w:w="1900"/>
            <w:shd w:fill="1F3864" w:val="clear"/>
            <w:tcMar>
              <w:top w:type="dxa" w:w="50"/>
              <w:left w:type="dxa" w:w="80"/>
              <w:bottom w:type="dxa" w:w="50"/>
              <w:right w:type="dxa" w:w="80"/>
            </w:tcMar>
            <w:vAlign w:val="center"/>
          </w:tcPr>
          <w:p>
            <w:pPr>
              <w:jc w:val="center"/>
            </w:pPr>
            <w:r>
              <w:rPr>
                <w:b/>
                <w:bCs/>
                <w:color w:val="FFFFFF"/>
                <w:sz w:val="16"/>
                <w:szCs w:val="16"/>
              </w:rPr>
              <w:t xml:space="preserve">Real Capital Base</w:t>
            </w:r>
          </w:p>
        </w:tc>
      </w:tr>
      <w:tr>
        <w:tc>
          <w:tcPr>
            <w:tcW w:type="dxa" w:w="750"/>
            <w:tcMar>
              <w:top w:type="dxa" w:w="50"/>
              <w:left w:type="dxa" w:w="80"/>
              <w:bottom w:type="dxa" w:w="50"/>
              <w:right w:type="dxa" w:w="80"/>
            </w:tcMar>
            <w:vAlign w:val="center"/>
          </w:tcPr>
          <w:p>
            <w:pPr>
              <w:jc w:val="center"/>
            </w:pPr>
            <w:r>
              <w:rPr>
                <w:color w:val="000000"/>
                <w:sz w:val="18"/>
                <w:szCs w:val="18"/>
              </w:rPr>
              <w:t xml:space="preserve">2015</w:t>
            </w:r>
          </w:p>
        </w:tc>
        <w:tc>
          <w:tcPr>
            <w:tcW w:type="dxa" w:w="1650"/>
            <w:tcMar>
              <w:top w:type="dxa" w:w="50"/>
              <w:left w:type="dxa" w:w="80"/>
              <w:bottom w:type="dxa" w:w="50"/>
              <w:right w:type="dxa" w:w="80"/>
            </w:tcMar>
            <w:vAlign w:val="center"/>
          </w:tcPr>
          <w:p>
            <w:pPr>
              <w:jc w:val="center"/>
            </w:pPr>
            <w:r>
              <w:rPr>
                <w:color w:val="000000"/>
                <w:sz w:val="18"/>
                <w:szCs w:val="18"/>
              </w:rPr>
              <w:t xml:space="preserve">10,617</w:t>
            </w:r>
          </w:p>
        </w:tc>
        <w:tc>
          <w:tcPr>
            <w:tcW w:type="dxa" w:w="1900"/>
            <w:tcMar>
              <w:top w:type="dxa" w:w="50"/>
              <w:left w:type="dxa" w:w="80"/>
              <w:bottom w:type="dxa" w:w="50"/>
              <w:right w:type="dxa" w:w="80"/>
            </w:tcMar>
            <w:vAlign w:val="center"/>
          </w:tcPr>
          <w:p>
            <w:pPr>
              <w:jc w:val="center"/>
            </w:pPr>
            <w:r>
              <w:rPr>
                <w:color w:val="000000"/>
                <w:sz w:val="18"/>
                <w:szCs w:val="18"/>
              </w:rPr>
              <w:t xml:space="preserve">481</w:t>
            </w:r>
          </w:p>
        </w:tc>
        <w:tc>
          <w:tcPr>
            <w:tcW w:type="dxa" w:w="1900"/>
            <w:tcMar>
              <w:top w:type="dxa" w:w="50"/>
              <w:left w:type="dxa" w:w="80"/>
              <w:bottom w:type="dxa" w:w="50"/>
              <w:right w:type="dxa" w:w="80"/>
            </w:tcMar>
            <w:vAlign w:val="center"/>
          </w:tcPr>
          <w:p>
            <w:pPr>
              <w:jc w:val="center"/>
            </w:pPr>
            <w:r>
              <w:rPr>
                <w:color w:val="000000"/>
                <w:sz w:val="18"/>
                <w:szCs w:val="18"/>
              </w:rPr>
              <w:t xml:space="preserve">11,098</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2016</w:t>
            </w:r>
          </w:p>
        </w:tc>
        <w:tc>
          <w:tcPr>
            <w:tcW w:type="dxa" w:w="1650"/>
            <w:shd w:fill="EEF2F7" w:val="clear"/>
            <w:tcMar>
              <w:top w:type="dxa" w:w="50"/>
              <w:left w:type="dxa" w:w="80"/>
              <w:bottom w:type="dxa" w:w="50"/>
              <w:right w:type="dxa" w:w="80"/>
            </w:tcMar>
            <w:vAlign w:val="center"/>
          </w:tcPr>
          <w:p>
            <w:pPr>
              <w:jc w:val="center"/>
            </w:pPr>
            <w:r>
              <w:rPr>
                <w:color w:val="000000"/>
                <w:sz w:val="18"/>
                <w:szCs w:val="18"/>
              </w:rPr>
              <w:t xml:space="preserve">12,079</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967</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13,046</w:t>
            </w:r>
          </w:p>
        </w:tc>
      </w:tr>
      <w:tr>
        <w:tc>
          <w:tcPr>
            <w:tcW w:type="dxa" w:w="750"/>
            <w:tcMar>
              <w:top w:type="dxa" w:w="50"/>
              <w:left w:type="dxa" w:w="80"/>
              <w:bottom w:type="dxa" w:w="50"/>
              <w:right w:type="dxa" w:w="80"/>
            </w:tcMar>
            <w:vAlign w:val="center"/>
          </w:tcPr>
          <w:p>
            <w:pPr>
              <w:jc w:val="center"/>
            </w:pPr>
            <w:r>
              <w:rPr>
                <w:color w:val="000000"/>
                <w:sz w:val="18"/>
                <w:szCs w:val="18"/>
              </w:rPr>
              <w:t xml:space="preserve">2017</w:t>
            </w:r>
          </w:p>
        </w:tc>
        <w:tc>
          <w:tcPr>
            <w:tcW w:type="dxa" w:w="1650"/>
            <w:tcMar>
              <w:top w:type="dxa" w:w="50"/>
              <w:left w:type="dxa" w:w="80"/>
              <w:bottom w:type="dxa" w:w="50"/>
              <w:right w:type="dxa" w:w="80"/>
            </w:tcMar>
            <w:vAlign w:val="center"/>
          </w:tcPr>
          <w:p>
            <w:pPr>
              <w:jc w:val="center"/>
            </w:pPr>
            <w:r>
              <w:rPr>
                <w:color w:val="000000"/>
                <w:sz w:val="18"/>
                <w:szCs w:val="18"/>
              </w:rPr>
              <w:t xml:space="preserve">10,778</w:t>
            </w:r>
          </w:p>
        </w:tc>
        <w:tc>
          <w:tcPr>
            <w:tcW w:type="dxa" w:w="1900"/>
            <w:tcMar>
              <w:top w:type="dxa" w:w="50"/>
              <w:left w:type="dxa" w:w="80"/>
              <w:bottom w:type="dxa" w:w="50"/>
              <w:right w:type="dxa" w:w="80"/>
            </w:tcMar>
            <w:vAlign w:val="center"/>
          </w:tcPr>
          <w:p>
            <w:pPr>
              <w:jc w:val="center"/>
            </w:pPr>
            <w:r>
              <w:rPr>
                <w:color w:val="000000"/>
                <w:sz w:val="18"/>
                <w:szCs w:val="18"/>
              </w:rPr>
              <w:t xml:space="preserve">1,436</w:t>
            </w:r>
          </w:p>
        </w:tc>
        <w:tc>
          <w:tcPr>
            <w:tcW w:type="dxa" w:w="1900"/>
            <w:tcMar>
              <w:top w:type="dxa" w:w="50"/>
              <w:left w:type="dxa" w:w="80"/>
              <w:bottom w:type="dxa" w:w="50"/>
              <w:right w:type="dxa" w:w="80"/>
            </w:tcMar>
            <w:vAlign w:val="center"/>
          </w:tcPr>
          <w:p>
            <w:pPr>
              <w:jc w:val="center"/>
            </w:pPr>
            <w:r>
              <w:rPr>
                <w:color w:val="000000"/>
                <w:sz w:val="18"/>
                <w:szCs w:val="18"/>
              </w:rPr>
              <w:t xml:space="preserve">12,214</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2018</w:t>
            </w:r>
          </w:p>
        </w:tc>
        <w:tc>
          <w:tcPr>
            <w:tcW w:type="dxa" w:w="1650"/>
            <w:shd w:fill="EEF2F7" w:val="clear"/>
            <w:tcMar>
              <w:top w:type="dxa" w:w="50"/>
              <w:left w:type="dxa" w:w="80"/>
              <w:bottom w:type="dxa" w:w="50"/>
              <w:right w:type="dxa" w:w="80"/>
            </w:tcMar>
            <w:vAlign w:val="center"/>
          </w:tcPr>
          <w:p>
            <w:pPr>
              <w:jc w:val="center"/>
            </w:pPr>
            <w:r>
              <w:rPr>
                <w:color w:val="000000"/>
                <w:sz w:val="18"/>
                <w:szCs w:val="18"/>
              </w:rPr>
              <w:t xml:space="preserve">12,799</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1,764</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14,563</w:t>
            </w:r>
          </w:p>
        </w:tc>
      </w:tr>
      <w:tr>
        <w:tc>
          <w:tcPr>
            <w:tcW w:type="dxa" w:w="750"/>
            <w:tcMar>
              <w:top w:type="dxa" w:w="50"/>
              <w:left w:type="dxa" w:w="80"/>
              <w:bottom w:type="dxa" w:w="50"/>
              <w:right w:type="dxa" w:w="80"/>
            </w:tcMar>
            <w:vAlign w:val="center"/>
          </w:tcPr>
          <w:p>
            <w:pPr>
              <w:jc w:val="center"/>
            </w:pPr>
            <w:r>
              <w:rPr>
                <w:color w:val="000000"/>
                <w:sz w:val="18"/>
                <w:szCs w:val="18"/>
              </w:rPr>
              <w:t xml:space="preserve">2019</w:t>
            </w:r>
          </w:p>
        </w:tc>
        <w:tc>
          <w:tcPr>
            <w:tcW w:type="dxa" w:w="1650"/>
            <w:tcMar>
              <w:top w:type="dxa" w:w="50"/>
              <w:left w:type="dxa" w:w="80"/>
              <w:bottom w:type="dxa" w:w="50"/>
              <w:right w:type="dxa" w:w="80"/>
            </w:tcMar>
            <w:vAlign w:val="center"/>
          </w:tcPr>
          <w:p>
            <w:pPr>
              <w:jc w:val="center"/>
            </w:pPr>
            <w:r>
              <w:rPr>
                <w:color w:val="000000"/>
                <w:sz w:val="18"/>
                <w:szCs w:val="18"/>
              </w:rPr>
              <w:t xml:space="preserve">15,243</w:t>
            </w:r>
          </w:p>
        </w:tc>
        <w:tc>
          <w:tcPr>
            <w:tcW w:type="dxa" w:w="1900"/>
            <w:tcMar>
              <w:top w:type="dxa" w:w="50"/>
              <w:left w:type="dxa" w:w="80"/>
              <w:bottom w:type="dxa" w:w="50"/>
              <w:right w:type="dxa" w:w="80"/>
            </w:tcMar>
            <w:vAlign w:val="center"/>
          </w:tcPr>
          <w:p>
            <w:pPr>
              <w:jc w:val="center"/>
            </w:pPr>
            <w:r>
              <w:rPr>
                <w:color w:val="000000"/>
                <w:sz w:val="18"/>
                <w:szCs w:val="18"/>
              </w:rPr>
              <w:t xml:space="preserve">2,011</w:t>
            </w:r>
          </w:p>
        </w:tc>
        <w:tc>
          <w:tcPr>
            <w:tcW w:type="dxa" w:w="1900"/>
            <w:tcMar>
              <w:top w:type="dxa" w:w="50"/>
              <w:left w:type="dxa" w:w="80"/>
              <w:bottom w:type="dxa" w:w="50"/>
              <w:right w:type="dxa" w:w="80"/>
            </w:tcMar>
            <w:vAlign w:val="center"/>
          </w:tcPr>
          <w:p>
            <w:pPr>
              <w:jc w:val="center"/>
            </w:pPr>
            <w:r>
              <w:rPr>
                <w:color w:val="000000"/>
                <w:sz w:val="18"/>
                <w:szCs w:val="18"/>
              </w:rPr>
              <w:t xml:space="preserve">17,254</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2020</w:t>
            </w:r>
          </w:p>
        </w:tc>
        <w:tc>
          <w:tcPr>
            <w:tcW w:type="dxa" w:w="1650"/>
            <w:shd w:fill="EEF2F7" w:val="clear"/>
            <w:tcMar>
              <w:top w:type="dxa" w:w="50"/>
              <w:left w:type="dxa" w:w="80"/>
              <w:bottom w:type="dxa" w:w="50"/>
              <w:right w:type="dxa" w:w="80"/>
            </w:tcMar>
            <w:vAlign w:val="center"/>
          </w:tcPr>
          <w:p>
            <w:pPr>
              <w:jc w:val="center"/>
            </w:pPr>
            <w:r>
              <w:rPr>
                <w:color w:val="000000"/>
                <w:sz w:val="18"/>
                <w:szCs w:val="18"/>
              </w:rPr>
              <w:t xml:space="preserve">18,284</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2,207</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20,491</w:t>
            </w:r>
          </w:p>
        </w:tc>
      </w:tr>
      <w:tr>
        <w:tc>
          <w:tcPr>
            <w:tcW w:type="dxa" w:w="750"/>
            <w:tcMar>
              <w:top w:type="dxa" w:w="50"/>
              <w:left w:type="dxa" w:w="80"/>
              <w:bottom w:type="dxa" w:w="50"/>
              <w:right w:type="dxa" w:w="80"/>
            </w:tcMar>
            <w:vAlign w:val="center"/>
          </w:tcPr>
          <w:p>
            <w:pPr>
              <w:jc w:val="center"/>
            </w:pPr>
            <w:r>
              <w:rPr>
                <w:color w:val="000000"/>
                <w:sz w:val="18"/>
                <w:szCs w:val="18"/>
              </w:rPr>
              <w:t xml:space="preserve">2021</w:t>
            </w:r>
          </w:p>
        </w:tc>
        <w:tc>
          <w:tcPr>
            <w:tcW w:type="dxa" w:w="1650"/>
            <w:tcMar>
              <w:top w:type="dxa" w:w="50"/>
              <w:left w:type="dxa" w:w="80"/>
              <w:bottom w:type="dxa" w:w="50"/>
              <w:right w:type="dxa" w:w="80"/>
            </w:tcMar>
            <w:vAlign w:val="center"/>
          </w:tcPr>
          <w:p>
            <w:pPr>
              <w:jc w:val="center"/>
            </w:pPr>
            <w:r>
              <w:rPr>
                <w:color w:val="000000"/>
                <w:sz w:val="18"/>
                <w:szCs w:val="18"/>
              </w:rPr>
              <w:t xml:space="preserve">17,564</w:t>
            </w:r>
          </w:p>
        </w:tc>
        <w:tc>
          <w:tcPr>
            <w:tcW w:type="dxa" w:w="1900"/>
            <w:tcMar>
              <w:top w:type="dxa" w:w="50"/>
              <w:left w:type="dxa" w:w="80"/>
              <w:bottom w:type="dxa" w:w="50"/>
              <w:right w:type="dxa" w:w="80"/>
            </w:tcMar>
            <w:vAlign w:val="center"/>
          </w:tcPr>
          <w:p>
            <w:pPr>
              <w:jc w:val="center"/>
            </w:pPr>
            <w:r>
              <w:rPr>
                <w:color w:val="000000"/>
                <w:sz w:val="18"/>
                <w:szCs w:val="18"/>
              </w:rPr>
              <w:t xml:space="preserve">2,703</w:t>
            </w:r>
          </w:p>
        </w:tc>
        <w:tc>
          <w:tcPr>
            <w:tcW w:type="dxa" w:w="1900"/>
            <w:tcMar>
              <w:top w:type="dxa" w:w="50"/>
              <w:left w:type="dxa" w:w="80"/>
              <w:bottom w:type="dxa" w:w="50"/>
              <w:right w:type="dxa" w:w="80"/>
            </w:tcMar>
            <w:vAlign w:val="center"/>
          </w:tcPr>
          <w:p>
            <w:pPr>
              <w:jc w:val="center"/>
            </w:pPr>
            <w:r>
              <w:rPr>
                <w:color w:val="000000"/>
                <w:sz w:val="18"/>
                <w:szCs w:val="18"/>
              </w:rPr>
              <w:t xml:space="preserve">20,267</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2022</w:t>
            </w:r>
          </w:p>
        </w:tc>
        <w:tc>
          <w:tcPr>
            <w:tcW w:type="dxa" w:w="1650"/>
            <w:shd w:fill="EEF2F7" w:val="clear"/>
            <w:tcMar>
              <w:top w:type="dxa" w:w="50"/>
              <w:left w:type="dxa" w:w="80"/>
              <w:bottom w:type="dxa" w:w="50"/>
              <w:right w:type="dxa" w:w="80"/>
            </w:tcMar>
            <w:vAlign w:val="center"/>
          </w:tcPr>
          <w:p>
            <w:pPr>
              <w:jc w:val="center"/>
            </w:pPr>
            <w:r>
              <w:rPr>
                <w:color w:val="000000"/>
                <w:sz w:val="18"/>
                <w:szCs w:val="18"/>
              </w:rPr>
              <w:t xml:space="preserve">20,642</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3,142</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23,784</w:t>
            </w:r>
          </w:p>
        </w:tc>
      </w:tr>
      <w:tr>
        <w:tc>
          <w:tcPr>
            <w:tcW w:type="dxa" w:w="750"/>
            <w:tcMar>
              <w:top w:type="dxa" w:w="50"/>
              <w:left w:type="dxa" w:w="80"/>
              <w:bottom w:type="dxa" w:w="50"/>
              <w:right w:type="dxa" w:w="80"/>
            </w:tcMar>
            <w:vAlign w:val="center"/>
          </w:tcPr>
          <w:p>
            <w:pPr>
              <w:jc w:val="center"/>
            </w:pPr>
            <w:r>
              <w:rPr>
                <w:color w:val="000000"/>
                <w:sz w:val="18"/>
                <w:szCs w:val="18"/>
              </w:rPr>
              <w:t xml:space="preserve">2023</w:t>
            </w:r>
          </w:p>
        </w:tc>
        <w:tc>
          <w:tcPr>
            <w:tcW w:type="dxa" w:w="1650"/>
            <w:tcMar>
              <w:top w:type="dxa" w:w="50"/>
              <w:left w:type="dxa" w:w="80"/>
              <w:bottom w:type="dxa" w:w="50"/>
              <w:right w:type="dxa" w:w="80"/>
            </w:tcMar>
            <w:vAlign w:val="center"/>
          </w:tcPr>
          <w:p>
            <w:pPr>
              <w:jc w:val="center"/>
            </w:pPr>
            <w:r>
              <w:rPr>
                <w:color w:val="000000"/>
                <w:sz w:val="18"/>
                <w:szCs w:val="18"/>
              </w:rPr>
              <w:t xml:space="preserve">25,058</w:t>
            </w:r>
          </w:p>
        </w:tc>
        <w:tc>
          <w:tcPr>
            <w:tcW w:type="dxa" w:w="1900"/>
            <w:tcMar>
              <w:top w:type="dxa" w:w="50"/>
              <w:left w:type="dxa" w:w="80"/>
              <w:bottom w:type="dxa" w:w="50"/>
              <w:right w:type="dxa" w:w="80"/>
            </w:tcMar>
            <w:vAlign w:val="center"/>
          </w:tcPr>
          <w:p>
            <w:pPr>
              <w:jc w:val="center"/>
            </w:pPr>
            <w:r>
              <w:rPr>
                <w:color w:val="000000"/>
                <w:sz w:val="18"/>
                <w:szCs w:val="18"/>
              </w:rPr>
              <w:t xml:space="preserve">3,818</w:t>
            </w:r>
          </w:p>
        </w:tc>
        <w:tc>
          <w:tcPr>
            <w:tcW w:type="dxa" w:w="1900"/>
            <w:tcMar>
              <w:top w:type="dxa" w:w="50"/>
              <w:left w:type="dxa" w:w="80"/>
              <w:bottom w:type="dxa" w:w="50"/>
              <w:right w:type="dxa" w:w="80"/>
            </w:tcMar>
            <w:vAlign w:val="center"/>
          </w:tcPr>
          <w:p>
            <w:pPr>
              <w:jc w:val="center"/>
            </w:pPr>
            <w:r>
              <w:rPr>
                <w:color w:val="000000"/>
                <w:sz w:val="18"/>
                <w:szCs w:val="18"/>
              </w:rPr>
              <w:t xml:space="preserve">28,876</w:t>
            </w:r>
          </w:p>
        </w:tc>
      </w:tr>
      <w:tr>
        <w:tc>
          <w:tcPr>
            <w:tcW w:type="dxa" w:w="750"/>
            <w:shd w:fill="EEF2F7" w:val="clear"/>
            <w:tcMar>
              <w:top w:type="dxa" w:w="50"/>
              <w:left w:type="dxa" w:w="80"/>
              <w:bottom w:type="dxa" w:w="50"/>
              <w:right w:type="dxa" w:w="80"/>
            </w:tcMar>
            <w:vAlign w:val="center"/>
          </w:tcPr>
          <w:p>
            <w:pPr>
              <w:jc w:val="center"/>
            </w:pPr>
            <w:r>
              <w:rPr>
                <w:color w:val="000000"/>
                <w:sz w:val="18"/>
                <w:szCs w:val="18"/>
              </w:rPr>
              <w:t xml:space="preserve">2024</w:t>
            </w:r>
          </w:p>
        </w:tc>
        <w:tc>
          <w:tcPr>
            <w:tcW w:type="dxa" w:w="1650"/>
            <w:shd w:fill="EEF2F7" w:val="clear"/>
            <w:tcMar>
              <w:top w:type="dxa" w:w="50"/>
              <w:left w:type="dxa" w:w="80"/>
              <w:bottom w:type="dxa" w:w="50"/>
              <w:right w:type="dxa" w:w="80"/>
            </w:tcMar>
            <w:vAlign w:val="center"/>
          </w:tcPr>
          <w:p>
            <w:pPr>
              <w:jc w:val="center"/>
            </w:pPr>
            <w:r>
              <w:rPr>
                <w:color w:val="000000"/>
                <w:sz w:val="18"/>
                <w:szCs w:val="18"/>
              </w:rPr>
              <w:t xml:space="preserve">23,622</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4,518</w:t>
            </w:r>
          </w:p>
        </w:tc>
        <w:tc>
          <w:tcPr>
            <w:tcW w:type="dxa" w:w="1900"/>
            <w:shd w:fill="EEF2F7" w:val="clear"/>
            <w:tcMar>
              <w:top w:type="dxa" w:w="50"/>
              <w:left w:type="dxa" w:w="80"/>
              <w:bottom w:type="dxa" w:w="50"/>
              <w:right w:type="dxa" w:w="80"/>
            </w:tcMar>
            <w:vAlign w:val="center"/>
          </w:tcPr>
          <w:p>
            <w:pPr>
              <w:jc w:val="center"/>
            </w:pPr>
            <w:r>
              <w:rPr>
                <w:color w:val="000000"/>
                <w:sz w:val="18"/>
                <w:szCs w:val="18"/>
              </w:rPr>
              <w:t xml:space="preserve">28,140</w:t>
            </w:r>
          </w:p>
        </w:tc>
      </w:tr>
      <w:tr>
        <w:tc>
          <w:tcPr>
            <w:tcW w:type="dxa" w:w="750"/>
            <w:tcMar>
              <w:top w:type="dxa" w:w="50"/>
              <w:left w:type="dxa" w:w="80"/>
              <w:bottom w:type="dxa" w:w="50"/>
              <w:right w:type="dxa" w:w="80"/>
            </w:tcMar>
            <w:vAlign w:val="center"/>
          </w:tcPr>
          <w:p>
            <w:pPr>
              <w:jc w:val="center"/>
            </w:pPr>
            <w:r>
              <w:rPr>
                <w:color w:val="000000"/>
                <w:sz w:val="18"/>
                <w:szCs w:val="18"/>
              </w:rPr>
              <w:t xml:space="preserve">2025</w:t>
            </w:r>
          </w:p>
        </w:tc>
        <w:tc>
          <w:tcPr>
            <w:tcW w:type="dxa" w:w="1650"/>
            <w:tcMar>
              <w:top w:type="dxa" w:w="50"/>
              <w:left w:type="dxa" w:w="80"/>
              <w:bottom w:type="dxa" w:w="50"/>
              <w:right w:type="dxa" w:w="80"/>
            </w:tcMar>
            <w:vAlign w:val="center"/>
          </w:tcPr>
          <w:p>
            <w:pPr>
              <w:jc w:val="center"/>
            </w:pPr>
            <w:r>
              <w:rPr>
                <w:color w:val="000000"/>
                <w:sz w:val="18"/>
                <w:szCs w:val="18"/>
              </w:rPr>
              <w:t xml:space="preserve">29,164</w:t>
            </w:r>
          </w:p>
        </w:tc>
        <w:tc>
          <w:tcPr>
            <w:tcW w:type="dxa" w:w="1900"/>
            <w:tcMar>
              <w:top w:type="dxa" w:w="50"/>
              <w:left w:type="dxa" w:w="80"/>
              <w:bottom w:type="dxa" w:w="50"/>
              <w:right w:type="dxa" w:w="80"/>
            </w:tcMar>
            <w:vAlign w:val="center"/>
          </w:tcPr>
          <w:p>
            <w:pPr>
              <w:jc w:val="center"/>
            </w:pPr>
            <w:r>
              <w:rPr>
                <w:color w:val="000000"/>
                <w:sz w:val="18"/>
                <w:szCs w:val="18"/>
              </w:rPr>
              <w:t xml:space="preserve">5,421</w:t>
            </w:r>
          </w:p>
        </w:tc>
        <w:tc>
          <w:tcPr>
            <w:tcW w:type="dxa" w:w="1900"/>
            <w:tcMar>
              <w:top w:type="dxa" w:w="50"/>
              <w:left w:type="dxa" w:w="80"/>
              <w:bottom w:type="dxa" w:w="50"/>
              <w:right w:type="dxa" w:w="80"/>
            </w:tcMar>
            <w:vAlign w:val="center"/>
          </w:tcPr>
          <w:p>
            <w:pPr>
              <w:jc w:val="center"/>
            </w:pPr>
            <w:r>
              <w:rPr>
                <w:color w:val="000000"/>
                <w:sz w:val="18"/>
                <w:szCs w:val="18"/>
              </w:rPr>
              <w:t xml:space="preserve">34,585</w:t>
            </w:r>
          </w:p>
        </w:tc>
      </w:tr>
    </w:tbl>
    <w:p>
      <w:pPr>
        <w:spacing w:after="150"/>
      </w:pPr>
      <w:r>
        <w:rPr>
          <w:sz w:val="20"/>
          <w:szCs w:val="20"/>
        </w:rPr>
        <w:t xml:space="preserve">On this basis, fiscal 2025 reported ROE of 30.7% becomes 25.8% on the Real Capital Base — a real but modest gap, nothing like Apple's collapse from 171% to 13.5%. That difference in magnitude is itself informative: Costco's buyback is small relative to its equity base, while Apple's was large enough to hollow reported equity out almost entirely.</w:t>
      </w:r>
    </w:p>
    <w:p>
      <w:pPr>
        <w:pStyle w:val="Heading1"/>
        <w:spacing w:after="140" w:before="340"/>
      </w:pPr>
      <w:r>
        <w:rPr>
          <w:b/>
          <w:bCs/>
          <w:color w:val="1F3864"/>
          <w:sz w:val="25"/>
          <w:szCs w:val="25"/>
        </w:rPr>
        <w:t xml:space="preserve">11 · What The Retained Earnings Earned</w:t>
      </w:r>
    </w:p>
    <w:p>
      <w:pPr>
        <w:spacing w:after="150"/>
      </w:pPr>
      <w:r>
        <w:rPr>
          <w:sz w:val="20"/>
          <w:szCs w:val="20"/>
        </w:rPr>
        <w:t xml:space="preserve">Money spent retiring shares is retained rather than distributed — it never left shareholders as a group. Retained earnings per share is earnings per share less dividends per share. Over the window, Costco's cumulative growth in real diluted EPS was $13.25 against $38.95 of cumulative real retained earnings per share — a return on retained earnings of 34.0%, against the 5.5% placeholder real cost of equity.</w:t>
      </w:r>
    </w:p>
    <w:p>
      <w:pPr>
        <w:spacing w:after="150"/>
      </w:pPr>
      <w:r>
        <w:rPr>
          <w:sz w:val="20"/>
          <w:szCs w:val="20"/>
        </w:rPr>
        <w:t xml:space="preserve">Verified against the house identity — abnormal earnings growth equals the retention rate times the excess of the return on retained earnings over the cost of equity — the retention rate of about 0.432 times the (34.0% − 5.5%) spread gives 12.3% a year, against 13.6% a year computed independently from the entity-level series. The two are broadly consistent, though this is a rougher check than Apple's three-basis-point agreement — it was not built to the same verification standard.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shd w:fill="FDF2D9" w:val="clear"/>
            <w:tcMar>
              <w:top w:type="dxa" w:w="100"/>
              <w:left w:type="dxa" w:w="160"/>
              <w:bottom w:type="dxa" w:w="100"/>
              <w:right w:type="dxa" w:w="160"/>
            </w:tcMar>
          </w:tcPr>
          <w:p>
            <w:r>
              <w:rPr>
                <w:b/>
                <w:bCs/>
                <w:color w:val="6B4E00"/>
                <w:sz w:val="18"/>
                <w:szCs w:val="18"/>
              </w:rPr>
              <w:t xml:space="preserve">This section depends entirely on the 5.5% placeholder real cost of equity. A genuinely high return on retained earnings is a real finding for Costco's OPERATING business; it says very little about the buyback specifically, since section 3 already shows the buyback itself running below that same placeholder rate on entry.</w:t>
            </w:r>
          </w:p>
        </w:tc>
      </w:tr>
    </w:tbl>
    <w:p>
      <w:pPr>
        <w:pStyle w:val="Heading1"/>
        <w:spacing w:after="140" w:before="340"/>
      </w:pPr>
      <w:r>
        <w:rPr>
          <w:b/>
          <w:bCs/>
          <w:color w:val="1F3864"/>
          <w:sz w:val="25"/>
          <w:szCs w:val="25"/>
        </w:rPr>
        <w:t xml:space="preserve">12 · What This Settles And What It Does Not</w:t>
      </w:r>
    </w:p>
    <w:p>
      <w:pPr>
        <w:spacing w:after="150"/>
      </w:pPr>
      <w:r>
        <w:rPr>
          <w:sz w:val="20"/>
          <w:szCs w:val="20"/>
        </w:rPr>
        <w:t xml:space="preserve">The unconditional claims need no view on what Costco is worth. Over FY2015–2025: the buyback contributed nothing to EPS growth, and slightly subtracted from it; shares outstanding ROSE rather than fell; the program is better described as dilution absorption than as a return of capital, at a 129.8% offset; none of it was leverage-funded; and the forward earnings yield on the shares actually bought has been low and falling, purely a function of Costco's own rising valuation multiple.</w:t>
      </w:r>
    </w:p>
    <w:p>
      <w:pPr>
        <w:spacing w:after="150"/>
      </w:pPr>
      <w:r>
        <w:rPr>
          <w:sz w:val="20"/>
          <w:szCs w:val="20"/>
        </w:rPr>
        <w:t xml:space="preserve">The conditional claim — whether that was money well spent — cannot be settled here. Apple's study can compare its price against an actual engine-computed Neutral Value; this study cannot, because no AEG engine valuation run exists for Costco. The placeholder 5.5% real cost of equity used throughout sections 2, 3 and 11 is illustrative, not authoritative, and every entry-effect and return-on-retained-earnings figure in this report should be re-run once a real Costco valuation exists.</w:t>
      </w:r>
    </w:p>
    <w:p>
      <w:pPr>
        <w:pBdr>
          <w:left w:val="single" w:color="C9A94E" w:sz="18" w:space="8"/>
        </w:pBdr>
        <w:spacing w:after="200" w:before="100"/>
        <w:ind w:left="200"/>
      </w:pPr>
      <w:r>
        <w:rPr>
          <w:b/>
          <w:bCs/>
          <w:color w:val="1F3864"/>
          <w:sz w:val="21"/>
          <w:szCs w:val="21"/>
        </w:rPr>
        <w:t xml:space="preserve">A repurchase program that adds nothing to earnings-per-share growth and returns none of the company's capital is not, on this evidence, best understood as a capital-allocation decision at all. It reads as a cost of retaining a workforce Costco has decided is worth retaining — which may be entirely justified, but is a different question from the one “buyback” usually implies.</w:t>
      </w:r>
    </w:p>
    <w:p>
      <w:pPr>
        <w:pBdr>
          <w:bottom w:val="single" w:color="999999" w:sz="6" w:space="4"/>
        </w:pBdr>
        <w:spacing w:after="200"/>
      </w:pPr>
    </w:p>
    <w:p>
      <w:pPr>
        <w:spacing w:after="80" w:before="160"/>
      </w:pPr>
      <w:r>
        <w:rPr>
          <w:b/>
          <w:bCs/>
          <w:color w:val="1F3864"/>
          <w:sz w:val="21"/>
          <w:szCs w:val="21"/>
        </w:rPr>
        <w:t xml:space="preserve">Method &amp; Verification</w:t>
      </w:r>
    </w:p>
    <w:p>
      <w:pPr>
        <w:spacing w:after="150"/>
      </w:pPr>
      <w:r>
        <w:rPr>
          <w:sz w:val="17"/>
          <w:szCs w:val="17"/>
        </w:rPr>
        <w:t xml:space="preserve">Repurchase cash, shares retired, share-based compensation, employee tax withholding and shares outstanding are from the SEC's XBRL company-concept interface, CIK 0000909832, form 10-K, full fiscal years, restated onto today's split basis (no splits since March 2000). Prices are Yahoo Finance monthly closes. Both pulled live 2026-08-12.</w:t>
      </w:r>
    </w:p>
    <w:p>
      <w:pPr>
        <w:spacing w:after="150"/>
      </w:pPr>
      <w:r>
        <w:rPr>
          <w:b/>
          <w:bCs/>
          <w:sz w:val="17"/>
          <w:szCs w:val="17"/>
        </w:rPr>
        <w:t xml:space="preserve">CORRECTED FROM THE FIRST PASS: the study window is FY2015–FY2025 (11 years), not FY2017–FY2025 as first reported the same day. StockRepurchasedAndRetiredDuringPeriodShares actually covers FY2015 onward directly — filed, zero derived years, zero price-validator failures across all eleven years. The earlier claim was not checked carefully enough.</w:t>
      </w:r>
    </w:p>
    <w:p>
      <w:pPr>
        <w:spacing w:after="150"/>
      </w:pPr>
      <w:r>
        <w:rPr>
          <w:sz w:val="17"/>
          <w:szCs w:val="17"/>
        </w:rPr>
        <w:t xml:space="preserve">VERIFIED: shares retired minus shares issued equals the observed net change in shares outstanding, exactly, in total and by construction each year. Every implied price paid passed the traded-range validator (against period-end closes; intra-period highs and lows were not available for this exercise, a stricter test).</w:t>
      </w:r>
    </w:p>
    <w:p>
      <w:pPr>
        <w:spacing w:after="150"/>
      </w:pPr>
      <w:r>
        <w:rPr>
          <w:sz w:val="17"/>
          <w:szCs w:val="17"/>
        </w:rPr>
        <w:t xml:space="preserve">DISCLOSED, NOT RESOLVED: the placeholder 5.5% real cost of equity (sections 2, 3, 4, 11) is not sourced from an AEG engine run for Costco — none exists. The “at Neutral Value” IRR column and any Intrinsic-Value-adjacent statement are correspondingly unavailable, not zero and not estimated. ProceedsFromIssuanceOfCommonStock is not tagged by Costco at all (affects the wedge in section 6, measure C in section 7 which could not be computed, and the Real Capital Base restoration in section 10 — all understated by an unknown amount). The CPI deflator used for real terms is borrowed from the Apple study's series, not sourced independently for Costco. The sources-and-uses reconciliation in section 9 carries a $2,240mn unreconciled residual and was not verified to the equity-roll-forward standard the Apple study used.</w:t>
      </w:r>
    </w:p>
    <w:p>
      <w:pPr>
        <w:spacing w:after="150"/>
      </w:pPr>
      <w:r>
        <w:rPr>
          <w:sz w:val="17"/>
          <w:szCs w:val="17"/>
        </w:rPr>
        <w:t xml:space="preserve">A small, consistent noncontrolling-interest gap ($26–72mn a year, FY2015–FY2022, zero from FY2023) between reported net income and pretax income less the tax provision — attributable to Costco's Mexico joint venture — means the operating/financial split of EPS growth in section 8 does not reconcile to the earnings-channel total exactly, unlike Apple's. The gap is under 1% of total EPS growth and does not change any conclusion.</w:t>
      </w:r>
    </w:p>
    <w:p>
      <w:pPr>
        <w:spacing w:after="150"/>
      </w:pPr>
      <w:r>
        <w:rPr>
          <w:i/>
          <w:iCs/>
          <w:color w:val="777777"/>
          <w:sz w:val="17"/>
          <w:szCs w:val="17"/>
        </w:rPr>
        <w:t xml:space="preserve">Disclosure: this study states no estimate of Costco's Intrinsic Value and contains no recommendation to buy or sell any security. Full dataset and driver script: AEG-Project\AEG-Buyback-Study\code\ (run_COST.py, cost_sec_raw.json, cost_monthly.csv).</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2026-08-12T22:53:05.021Z</dcterms:created>
  <dcterms:modified xsi:type="dcterms:W3CDTF">2026-08-12T22:53:05.022Z</dcterms:modified>
</cp:coreProperties>
</file>

<file path=docProps/custom.xml><?xml version="1.0" encoding="utf-8"?>
<Properties xmlns="http://schemas.openxmlformats.org/officeDocument/2006/custom-properties" xmlns:vt="http://schemas.openxmlformats.org/officeDocument/2006/docPropsVTypes"/>
</file>