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160" w:after="200"/>
        <w:jc w:val="center"/>
      </w:pPr>
      <w:r>
        <w:rPr>
          <w:b w:val="0"/>
          <w:i w:val="0"/>
          <w:color w:val="203748"/>
          <w:sz w:val="60"/>
        </w:rPr>
        <w:t>MODUA Whitepaper</w:t>
      </w:r>
    </w:p>
    <w:p>
      <w:pPr>
        <w:pStyle w:val="Heading2"/>
        <w:keepNext/>
        <w:spacing w:before="0" w:after="640"/>
        <w:jc w:val="center"/>
      </w:pPr>
      <w:r>
        <w:rPr>
          <w:b w:val="0"/>
          <w:i w:val="0"/>
          <w:color w:val="2B5163"/>
          <w:sz w:val="30"/>
        </w:rPr>
        <w:t>모두의 일상을 돕는 AI 생활자립·상호지원 생태계</w:t>
      </w:r>
    </w:p>
    <w:p>
      <w:pPr>
        <w:pStyle w:val="Quote"/>
        <w:ind w:left="0" w:right="0"/>
        <w:jc w:val="center"/>
      </w:pPr>
      <w:r>
        <w:rPr>
          <w:b/>
          <w:i w:val="0"/>
          <w:color w:val="9A7420"/>
          <w:sz w:val="22"/>
        </w:rPr>
        <w:br/>
      </w:r>
      <w:r>
        <w:rPr>
          <w:b/>
          <w:i w:val="0"/>
          <w:color w:val="9A7420"/>
          <w:sz w:val="22"/>
        </w:rPr>
        <w:t>검토본 · 2026-08-14 · 대한민국 우선</w:t>
      </w:r>
      <w:r>
        <w:rPr>
          <w:b/>
          <w:i w:val="0"/>
          <w:color w:val="9A7420"/>
          <w:sz w:val="22"/>
        </w:rPr>
        <w:br/>
      </w:r>
    </w:p>
    <w:p>
      <w:r>
        <w:br w:type="page"/>
      </w:r>
    </w:p>
    <w:p>
      <w:pPr>
        <w:pStyle w:val="Heading2"/>
      </w:pPr>
      <w:r>
        <w:rPr>
          <w:b w:val="0"/>
          <w:i w:val="0"/>
        </w:rPr>
        <w:t>1. 핵심 선언</w:t>
      </w:r>
    </w:p>
    <w:p>
      <w:r>
        <w:rPr>
          <w:b w:val="0"/>
          <w:i w:val="0"/>
        </w:rPr>
        <w:t>MODUA(모두아)는 노인, 장애인, 그리고 곁에서 돕는 사람을 위한 새로운 생활지원 프로젝트다. 코인보다 서비스를 먼저 만들고, 일상에서 실제로 도움이 되는지를 먼저 확인한다.</w:t>
      </w:r>
    </w:p>
    <w:p>
      <w:r>
        <w:rPr>
          <w:b w:val="0"/>
          <w:i w:val="0"/>
        </w:rPr>
        <w:t>MODUA의 AI 생활자립 에이전트는 어려운 안내를 쉬운 말로 설명하고, 해야 할 일을 정리하고, 필요한 도움을 연결한다. 사용자의 선택을 대신하지 않고 선택에 필요한 내용을 더 잘 이해하도록 돕는다.</w:t>
      </w:r>
    </w:p>
    <w:p>
      <w:r>
        <w:rPr>
          <w:b w:val="0"/>
          <w:i w:val="0"/>
        </w:rPr>
        <w:t>MODUA는 스테이블코인을 발행·수탁·교환하지 않는다. 이용자 자산과 개인키를 보관하거나 다루지도 않는다. 초기 보상인 양도 불가능한 MODUA 포인트는 토큰 없이도 작동하며, 도움과 참여를 확인하는 서비스 안의 기록이다. 다른 사람에게 보내거나 현금·가상자산으로 바꿀 수 없고, 이를 받거나 쓰기 위해 토큰을 사거나 보유할 필요가 없다.</w:t>
      </w:r>
    </w:p>
    <w:p>
      <w:r>
        <w:rPr>
          <w:b w:val="0"/>
          <w:i w:val="0"/>
        </w:rPr>
        <w:t xml:space="preserve">병원 기능은 </w:t>
      </w:r>
      <w:r>
        <w:rPr>
          <w:rFonts w:ascii="Noto Sans KR" w:hAnsi="Noto Sans KR" w:eastAsia="Noto Sans KR"/>
          <w:b w:val="0"/>
          <w:i w:val="0"/>
          <w:sz w:val="21"/>
        </w:rPr>
        <w:t>병원 시스템에 접속하지 않는 방문 준비 → 사용자가 최종 확인한 화면·PDF 한 쪽 요약 → 병원 계약·보안검토·사용자 명시적 승인을 마친 뒤의 계약된 읽기 전용 KR Core V2/FHIR R4 교류</w:t>
      </w:r>
      <w:r>
        <w:rPr>
          <w:b w:val="0"/>
          <w:i w:val="0"/>
        </w:rPr>
        <w:t xml:space="preserve"> 순서로만 넓힌다. 마지막 단계는 후기 단계 기능이다.</w:t>
      </w:r>
    </w:p>
    <w:p>
      <w:r>
        <w:rPr>
          <w:b w:val="0"/>
          <w:i w:val="0"/>
        </w:rPr>
        <w:t>외부 스테이블코인 결제는 신고 사업자 계약·법률검토·보안시험 후에만 실증한다. 각 결제는 사용자 최종 승인을 거치며, 설계상 16–21개월 조건부 실증에서만 검토한다.</w:t>
      </w:r>
    </w:p>
    <w:p>
      <w:r>
        <w:rPr>
          <w:b w:val="0"/>
          <w:i w:val="0"/>
        </w:rPr>
        <w:t>국내 대상 가상자산 매매·교환·중개는 적법한 신고 사업자 경계를 확인해야 한다. [C-FSC-REPORTED-PROVIDER] [S-FSC-VASP-2026]</w:t>
      </w:r>
    </w:p>
    <w:p>
      <w:r>
        <w:rPr>
          <w:b w:val="0"/>
          <w:i w:val="0"/>
        </w:rPr>
        <w:t>MODUA 설계의 조건부 실증에서는 국내 대상 업무를 법적으로 수행할 수 있는 금융정보분석원(FIU) 신고 사업자가 고객확인(KYC)·자금세탁방지(AML), 수탁, 교환 등 규제 경계를 모두 맡는다.</w:t>
      </w:r>
    </w:p>
    <w:p>
      <w:r>
        <w:rPr>
          <w:b w:val="0"/>
          <w:i w:val="0"/>
        </w:rPr>
        <w:t>HEFI 자료는 아이디어를 살펴본 참고자료일 뿐이다. MODUA는 별개의 신규 프로젝트다. 삼성은 MODUA의 공식 파트너가 아니다.</w:t>
      </w:r>
    </w:p>
    <w:p>
      <w:pPr>
        <w:pStyle w:val="Heading2"/>
      </w:pPr>
      <w:r>
        <w:rPr>
          <w:b w:val="0"/>
          <w:i w:val="0"/>
        </w:rPr>
        <w:t>2. 요약</w:t>
      </w:r>
    </w:p>
    <w:p>
      <w:r>
        <w:rPr>
          <w:b w:val="0"/>
          <w:i w:val="0"/>
        </w:rPr>
        <w:t>MODUA는 음성과 큰 글자, 짧은 문장, 반복 확인을 중심으로 설계한다. 사람마다 시각, 청각, 움직임, 이해 방식, 디지털 경험이 다르므로 한 가지 사용 방법만 강요하지 않는다.</w:t>
      </w:r>
    </w:p>
    <w:p>
      <w:r>
        <w:rPr>
          <w:b w:val="0"/>
          <w:i w:val="0"/>
        </w:rPr>
        <w:t>서비스의 첫 목표는 다음과 같다.</w:t>
      </w:r>
    </w:p>
    <w:p>
      <w:pPr>
        <w:pStyle w:val="MODUABullet"/>
        <w:numPr>
          <w:ilvl w:val="0"/>
          <w:numId w:val="10"/>
        </w:numPr>
      </w:pPr>
      <w:r>
        <w:rPr>
          <w:b w:val="0"/>
          <w:i w:val="0"/>
        </w:rPr>
        <w:t>공공 안내문과 복지 문서를 쉬운 말로 설명한다.</w:t>
      </w:r>
    </w:p>
    <w:p>
      <w:pPr>
        <w:pStyle w:val="MODUABullet"/>
        <w:numPr>
          <w:ilvl w:val="0"/>
          <w:numId w:val="10"/>
        </w:numPr>
      </w:pPr>
      <w:r>
        <w:rPr>
          <w:b w:val="0"/>
          <w:i w:val="0"/>
        </w:rPr>
        <w:t>일정과 해야 할 일을 놓치지 않도록 돕는다.</w:t>
      </w:r>
    </w:p>
    <w:p>
      <w:pPr>
        <w:pStyle w:val="MODUABullet"/>
        <w:numPr>
          <w:ilvl w:val="0"/>
          <w:numId w:val="10"/>
        </w:numPr>
      </w:pPr>
      <w:r>
        <w:rPr>
          <w:b w:val="0"/>
          <w:i w:val="0"/>
        </w:rPr>
        <w:t>도움이 필요할 때 필요한 내용만 골라 요청하게 한다.</w:t>
      </w:r>
    </w:p>
    <w:p>
      <w:pPr>
        <w:pStyle w:val="MODUABullet"/>
        <w:numPr>
          <w:ilvl w:val="0"/>
          <w:numId w:val="10"/>
        </w:numPr>
      </w:pPr>
      <w:r>
        <w:rPr>
          <w:b w:val="0"/>
          <w:i w:val="0"/>
        </w:rPr>
        <w:t>사용자가 금액과 받는 사람을 다시 확인하고 사용자 최종 승인을 직접 하도록 결제 준비를 돕는다.</w:t>
      </w:r>
    </w:p>
    <w:p>
      <w:pPr>
        <w:pStyle w:val="MODUABullet"/>
        <w:numPr>
          <w:ilvl w:val="0"/>
          <w:numId w:val="10"/>
        </w:numPr>
      </w:pPr>
      <w:r>
        <w:rPr>
          <w:b w:val="0"/>
          <w:i w:val="0"/>
        </w:rPr>
        <w:t>도움을 받은 사람과 제공한 사람이 함께 완료를 확인하면 양도 불가능한 MODUA 포인트로 기록한다.</w:t>
      </w:r>
    </w:p>
    <w:p>
      <w:r>
        <w:rPr>
          <w:b w:val="0"/>
          <w:i w:val="0"/>
        </w:rPr>
        <w:t>AI는 설명과 초안을 맡는다. 예약 확정, 사용자 최종 승인이 필요한 결제, 계약, 의료 관련 선택, 민감한 기록의 외부 사용은 사람이 직접 확인한다. MODUA는 의료·금융·계약·개인정보에 관한 판단이나 실행을 자율적으로 하지 않는다.</w:t>
      </w:r>
    </w:p>
    <w:p>
      <w:r>
        <w:rPr>
          <w:b w:val="0"/>
          <w:i w:val="0"/>
        </w:rPr>
        <w:t>초기 서비스는 토큰 없이 운영할 수 있다. 병원 연계와 16–21개월 외부 스테이블코인 조건부 실증은 기본 기능이 아니며, 필요한 계약과 안전 조건을 통과한 뒤에만 별도로 판단한다.</w:t>
      </w:r>
    </w:p>
    <w:p>
      <w:pPr>
        <w:pStyle w:val="Heading2"/>
      </w:pPr>
      <w:r>
        <w:rPr>
          <w:b w:val="0"/>
          <w:i w:val="0"/>
        </w:rPr>
        <w:t>3. 해결하려는 생활 문제</w:t>
      </w:r>
    </w:p>
    <w:p>
      <w:r>
        <w:rPr>
          <w:b w:val="0"/>
          <w:i w:val="0"/>
        </w:rPr>
        <w:t>노인과 장애인은 하나의 같은 집단이 아니다. 필요한 접근 방법과 도움의 정도는 사람마다 다르다. MODUA는 먼저 다음 다섯 가지 생활 문제를 다룬다.</w:t>
      </w:r>
    </w:p>
    <w:p>
      <w:pPr>
        <w:pStyle w:val="MODUANumber"/>
        <w:numPr>
          <w:ilvl w:val="0"/>
          <w:numId w:val="11"/>
        </w:numPr>
      </w:pPr>
      <w:r>
        <w:rPr>
          <w:b w:val="0"/>
          <w:i w:val="0"/>
        </w:rPr>
        <w:t>복잡한 문서와 공공·복지 안내를 이해하기 어렵다.</w:t>
      </w:r>
    </w:p>
    <w:p>
      <w:pPr>
        <w:pStyle w:val="MODUANumber"/>
        <w:numPr>
          <w:ilvl w:val="0"/>
          <w:numId w:val="11"/>
        </w:numPr>
      </w:pPr>
      <w:r>
        <w:rPr>
          <w:b w:val="0"/>
          <w:i w:val="0"/>
        </w:rPr>
        <w:t>앱 메뉴, 본인 인증, 사용자 최종 승인이 필요한 결제 화면이 복잡하고 실수를 되돌리기 어렵다.</w:t>
      </w:r>
    </w:p>
    <w:p>
      <w:pPr>
        <w:pStyle w:val="MODUANumber"/>
        <w:numPr>
          <w:ilvl w:val="0"/>
          <w:numId w:val="11"/>
        </w:numPr>
      </w:pPr>
      <w:r>
        <w:rPr>
          <w:b w:val="0"/>
          <w:i w:val="0"/>
        </w:rPr>
        <w:t>도움이 필요할 때 누구에게 무엇을 요청해야 하는지 알기 어렵다.</w:t>
      </w:r>
    </w:p>
    <w:p>
      <w:pPr>
        <w:pStyle w:val="MODUANumber"/>
        <w:numPr>
          <w:ilvl w:val="0"/>
          <w:numId w:val="11"/>
        </w:numPr>
      </w:pPr>
      <w:r>
        <w:rPr>
          <w:b w:val="0"/>
          <w:i w:val="0"/>
        </w:rPr>
        <w:t>가족, 자원봉사자, 기관이 실제로 도운 일이 기록되거나 인정되지 않는 경우가 있다.</w:t>
      </w:r>
    </w:p>
    <w:p>
      <w:pPr>
        <w:pStyle w:val="MODUANumber"/>
        <w:numPr>
          <w:ilvl w:val="0"/>
          <w:numId w:val="11"/>
        </w:numPr>
      </w:pPr>
      <w:r>
        <w:rPr>
          <w:b w:val="0"/>
          <w:i w:val="0"/>
        </w:rPr>
        <w:t>당사자의 데이터가 동의 없이 수집되거나 거래될 수 있다는 불신이 크다.</w:t>
      </w:r>
    </w:p>
    <w:p>
      <w:pPr>
        <w:pStyle w:val="Heading3"/>
      </w:pPr>
      <w:r>
        <w:rPr>
          <w:b w:val="0"/>
          <w:i w:val="0"/>
        </w:rPr>
        <w:t>대한민국 우선 기준선</w:t>
      </w:r>
    </w:p>
    <w:p>
      <w:r>
        <w:rPr>
          <w:b w:val="0"/>
          <w:i w:val="0"/>
        </w:rPr>
        <w:t>2024년 대한민국 65세 이상 인구는 약 1,012만 명이다. [C-KOSTAT-2024] [S-KOSTAT-2024]</w:t>
      </w:r>
    </w:p>
    <w:p>
      <w:r>
        <w:rPr>
          <w:b w:val="0"/>
          <w:i w:val="0"/>
        </w:rPr>
        <w:t>2024년 말 등록장애인은 263만 1,356명이다. [C-NRC-DISABILITY-2024] [S-NRC-DISABILITY-2024]</w:t>
      </w:r>
    </w:p>
    <w:p>
      <w:r>
        <w:rPr>
          <w:b w:val="0"/>
          <w:i w:val="0"/>
        </w:rPr>
        <w:t>두 수치를 더해 MODUA의 이용자 수라고 보지 않는다. 고령자 가운데 등록장애인이 포함될 수 있어 두 인구가 서로 겹치기 때문이다. 통계의 기준과 사람의 상황도 다르다.</w:t>
      </w:r>
    </w:p>
    <w:p>
      <w:r>
        <w:rPr>
          <w:b w:val="0"/>
          <w:i w:val="0"/>
        </w:rPr>
        <w:t>2024년 말 60세 이상 등록장애인은 166만 1,472명이다. [C-NRC-DISABILITY-60PLUS-2024] [S-NRC-DISABILITY-2024]</w:t>
      </w:r>
    </w:p>
    <w:p>
      <w:r>
        <w:rPr>
          <w:b w:val="0"/>
          <w:i w:val="0"/>
        </w:rPr>
        <w:t>MODUA는 이 집단과 그 지원자·기관을 보수적 초기 서비스 가능시장(SAM)으로 삼는다. 이는 다른 고령자나 장애인을 제외한다는 뜻이 아니다. 작은 범위에서 접근성, 안전성, 실제 생활 도움을 먼저 확인하기 위한 기준이며, 위의 더 넓은 고령인구 수치와 더하지 않는다.</w:t>
      </w:r>
    </w:p>
    <w:p>
      <w:pPr>
        <w:pStyle w:val="Heading2"/>
      </w:pPr>
      <w:r>
        <w:rPr>
          <w:b w:val="0"/>
          <w:i w:val="0"/>
        </w:rPr>
        <w:t>4. MODUA 원칙</w:t>
      </w:r>
    </w:p>
    <w:p>
      <w:pPr>
        <w:pStyle w:val="Heading3"/>
      </w:pPr>
      <w:r>
        <w:rPr>
          <w:b w:val="0"/>
          <w:i w:val="0"/>
        </w:rPr>
        <w:t>4.1 서비스가 먼저다</w:t>
      </w:r>
    </w:p>
    <w:p>
      <w:r>
        <w:rPr>
          <w:b w:val="0"/>
          <w:i w:val="0"/>
        </w:rPr>
        <w:t>MODUA의 성과는 토큰 가격이 아니라 사용자가 문서를 이해했는지, 해야 할 일을 마쳤는지, 필요한 도움을 안전하게 받았는지로 판단한다. 양도 불가능한 MODUA 포인트는 도움과 참여를 확인하는 보조 수단이며 토큰 없이 작동한다.</w:t>
      </w:r>
    </w:p>
    <w:p>
      <w:pPr>
        <w:pStyle w:val="Heading3"/>
      </w:pPr>
      <w:r>
        <w:rPr>
          <w:b w:val="0"/>
          <w:i w:val="0"/>
        </w:rPr>
        <w:t>4.2 사람에게 권한이 있다</w:t>
      </w:r>
    </w:p>
    <w:p>
      <w:r>
        <w:rPr>
          <w:b w:val="0"/>
          <w:i w:val="0"/>
        </w:rPr>
        <w:t>AI는 설명하고, 선택지를 정리하고, 초안을 만든다. 사용자는 내용을 고치거나 취소할 수 있다. 예약 확정, 계약 체결, 의료 관련 선택, 사용자 최종 승인이 필요한 결제, 민감한 기록의 외부 사용은 AI가 혼자 결정하거나 실행하지 않는다.</w:t>
      </w:r>
    </w:p>
    <w:p>
      <w:r>
        <w:rPr>
          <w:b w:val="0"/>
          <w:i w:val="0"/>
        </w:rPr>
        <w:t xml:space="preserve">MODUA의 기본 흐름은 </w:t>
      </w:r>
      <w:r>
        <w:rPr>
          <w:rFonts w:ascii="Noto Sans KR" w:hAnsi="Noto Sans KR" w:eastAsia="Noto Sans KR"/>
          <w:b w:val="0"/>
          <w:i w:val="0"/>
          <w:sz w:val="21"/>
        </w:rPr>
        <w:t>요청 → 쉬운 설명 또는 초안 → 사람의 검토 → 사용자 최종 승인 → 허용된 실행 → 최소 기록</w:t>
      </w:r>
      <w:r>
        <w:rPr>
          <w:b w:val="0"/>
          <w:i w:val="0"/>
        </w:rPr>
        <w:t>이다. 위험이 크거나 뜻이 분명하지 않으면 실행하지 않고 사람에게 연결한다.</w:t>
      </w:r>
    </w:p>
    <w:p>
      <w:pPr>
        <w:pStyle w:val="Heading3"/>
      </w:pPr>
      <w:r>
        <w:rPr>
          <w:b w:val="0"/>
          <w:i w:val="0"/>
        </w:rPr>
        <w:t>4.3 필요한 만큼만 다룬다</w:t>
      </w:r>
    </w:p>
    <w:p>
      <w:r>
        <w:rPr>
          <w:b w:val="0"/>
          <w:i w:val="0"/>
        </w:rPr>
        <w:t>도움을 주는 사람과 기관은 맡은 일을 하는 데 필요한 최소 범위만 본다. 목적과 기간을 정하고, 불필요한 원문과 민감한 기록은 기본적으로 내보내지 않는다. 사용자는 허용한 범위를 확인하고 철회하거나 삭제를 요청할 수 있다.</w:t>
      </w:r>
    </w:p>
    <w:p>
      <w:pPr>
        <w:pStyle w:val="Heading3"/>
      </w:pPr>
      <w:r>
        <w:rPr>
          <w:b w:val="0"/>
          <w:i w:val="0"/>
        </w:rPr>
        <w:t>4.4 쉽게 설명하고 다시 확인한다</w:t>
      </w:r>
    </w:p>
    <w:p>
      <w:r>
        <w:rPr>
          <w:b w:val="0"/>
          <w:i w:val="0"/>
        </w:rPr>
        <w:t>큰 글자, 음성, 높은 명암 대비, 짧은 문장, 느린 안내, 반복 듣기를 지원한다. 중요한 선택은 금액, 상대방, 기한, 범위를 다시 보여주고 본인이 이해했는지 확인한다.</w:t>
      </w:r>
    </w:p>
    <w:p>
      <w:pPr>
        <w:pStyle w:val="Heading3"/>
      </w:pPr>
      <w:r>
        <w:rPr>
          <w:b w:val="0"/>
          <w:i w:val="0"/>
        </w:rPr>
        <w:t>4.5 안전하지 않으면 멈춘다</w:t>
      </w:r>
    </w:p>
    <w:p>
      <w:r>
        <w:rPr>
          <w:b w:val="0"/>
          <w:i w:val="0"/>
        </w:rPr>
        <w:t>AI는 의료 진단, 처방 변경, 투자 판단, 법률 판단, 계약 동의, 개인정보 공개를 스스로 하지 않는다. 응급상황이나 사기·강압이 의심되면 확정하지 않고 공공 긴급 서비스, 의료진, 보호 체계 또는 담당자에게 연결한다.</w:t>
      </w:r>
    </w:p>
    <w:p>
      <w:pPr>
        <w:pStyle w:val="Heading2"/>
      </w:pPr>
      <w:r>
        <w:rPr>
          <w:b w:val="0"/>
          <w:i w:val="0"/>
        </w:rPr>
        <w:t>5. 이용자와 지원 참여자</w:t>
      </w:r>
    </w:p>
    <w:p>
      <w:r>
        <w:rPr>
          <w:b w:val="0"/>
          <w:i w:val="0"/>
        </w:rPr>
        <w:t>역할마다 볼 수 있는 내용과 할 수 있는 일이 다르다. 가족이나 기관이라는 이유만으로 모든 권한을 갖지 않는다.</w:t>
      </w:r>
    </w:p>
    <w:p>
      <w:pPr>
        <w:pStyle w:val="Heading3"/>
      </w:pPr>
      <w:r>
        <w:rPr>
          <w:b w:val="0"/>
          <w:i w:val="0"/>
        </w:rPr>
        <w:t>노인·장애인 이용자</w:t>
      </w:r>
    </w:p>
    <w:p>
      <w:pPr>
        <w:pStyle w:val="MODUABullet"/>
        <w:numPr>
          <w:ilvl w:val="0"/>
          <w:numId w:val="12"/>
        </w:numPr>
      </w:pPr>
      <w:r>
        <w:rPr>
          <w:b w:val="0"/>
          <w:i w:val="0"/>
        </w:rPr>
        <w:t>쉬운 설명, 접근 가능한 화면, 도움 요청, 자기결정의 권리가 있다.</w:t>
      </w:r>
    </w:p>
    <w:p>
      <w:pPr>
        <w:pStyle w:val="MODUABullet"/>
        <w:numPr>
          <w:ilvl w:val="0"/>
          <w:numId w:val="12"/>
        </w:numPr>
      </w:pPr>
      <w:r>
        <w:rPr>
          <w:b w:val="0"/>
          <w:i w:val="0"/>
        </w:rPr>
        <w:t>어떤 기록을 누가 얼마 동안 볼지 정하고 언제든 허용을 철회할 수 있다.</w:t>
      </w:r>
    </w:p>
    <w:p>
      <w:pPr>
        <w:pStyle w:val="MODUABullet"/>
        <w:numPr>
          <w:ilvl w:val="0"/>
          <w:numId w:val="12"/>
        </w:numPr>
      </w:pPr>
      <w:r>
        <w:rPr>
          <w:b w:val="0"/>
          <w:i w:val="0"/>
        </w:rPr>
        <w:t>AI가 만든 초안을 고치거나 거절하며, 중요한 행동은 본인이 최종 확인한다.</w:t>
      </w:r>
    </w:p>
    <w:p>
      <w:pPr>
        <w:pStyle w:val="Heading3"/>
      </w:pPr>
      <w:r>
        <w:rPr>
          <w:b w:val="0"/>
          <w:i w:val="0"/>
        </w:rPr>
        <w:t>가족·보호자</w:t>
      </w:r>
    </w:p>
    <w:p>
      <w:pPr>
        <w:pStyle w:val="MODUABullet"/>
        <w:numPr>
          <w:ilvl w:val="0"/>
          <w:numId w:val="13"/>
        </w:numPr>
      </w:pPr>
      <w:r>
        <w:rPr>
          <w:b w:val="0"/>
          <w:i w:val="0"/>
        </w:rPr>
        <w:t>사용자가 정한 항목과 기간 안에서만 알림과 상태를 확인한다.</w:t>
      </w:r>
    </w:p>
    <w:p>
      <w:pPr>
        <w:pStyle w:val="MODUABullet"/>
        <w:numPr>
          <w:ilvl w:val="0"/>
          <w:numId w:val="13"/>
        </w:numPr>
      </w:pPr>
      <w:r>
        <w:rPr>
          <w:b w:val="0"/>
          <w:i w:val="0"/>
        </w:rPr>
        <w:t>가족·보호자라는 이유만으로 대화, 건강, 금융 기록을 모두 볼 수 없다.</w:t>
      </w:r>
    </w:p>
    <w:p>
      <w:pPr>
        <w:pStyle w:val="MODUABullet"/>
        <w:numPr>
          <w:ilvl w:val="0"/>
          <w:numId w:val="13"/>
        </w:numPr>
      </w:pPr>
      <w:r>
        <w:rPr>
          <w:b w:val="0"/>
          <w:i w:val="0"/>
        </w:rPr>
        <w:t>사용자를 돕되, 사용자의 선택이나 최종 확인을 자동으로 대신하지 않는다. 적법한 대리가 필요한 경우에는 미리 정한 별도 절차를 따른다.</w:t>
      </w:r>
    </w:p>
    <w:p>
      <w:pPr>
        <w:pStyle w:val="Heading3"/>
      </w:pPr>
      <w:r>
        <w:rPr>
          <w:b w:val="0"/>
          <w:i w:val="0"/>
        </w:rPr>
        <w:t>자원봉사자·도움 제공자</w:t>
      </w:r>
    </w:p>
    <w:p>
      <w:pPr>
        <w:pStyle w:val="MODUABullet"/>
        <w:numPr>
          <w:ilvl w:val="0"/>
          <w:numId w:val="14"/>
        </w:numPr>
      </w:pPr>
      <w:r>
        <w:rPr>
          <w:b w:val="0"/>
          <w:i w:val="0"/>
        </w:rPr>
        <w:t>요청을 수행하는 데 필요한 시간, 장소, 과업만 확인한다.</w:t>
      </w:r>
    </w:p>
    <w:p>
      <w:pPr>
        <w:pStyle w:val="MODUABullet"/>
        <w:numPr>
          <w:ilvl w:val="0"/>
          <w:numId w:val="14"/>
        </w:numPr>
      </w:pPr>
      <w:r>
        <w:rPr>
          <w:b w:val="0"/>
          <w:i w:val="0"/>
        </w:rPr>
        <w:t>요청과 무관한 건강 기록, 금융 기록, 가족관계는 볼 수 없다.</w:t>
      </w:r>
    </w:p>
    <w:p>
      <w:pPr>
        <w:pStyle w:val="MODUABullet"/>
        <w:numPr>
          <w:ilvl w:val="0"/>
          <w:numId w:val="14"/>
        </w:numPr>
      </w:pPr>
      <w:r>
        <w:rPr>
          <w:b w:val="0"/>
          <w:i w:val="0"/>
        </w:rPr>
        <w:t>도움을 마친 뒤 받은 사람과 함께 완료 여부를 확인하고 이견이 있으면 검토를 요청할 수 있다.</w:t>
      </w:r>
    </w:p>
    <w:p>
      <w:pPr>
        <w:pStyle w:val="Heading3"/>
      </w:pPr>
      <w:r>
        <w:rPr>
          <w:b w:val="0"/>
          <w:i w:val="0"/>
        </w:rPr>
        <w:t>접근성 평가자</w:t>
      </w:r>
    </w:p>
    <w:p>
      <w:pPr>
        <w:pStyle w:val="MODUABullet"/>
        <w:numPr>
          <w:ilvl w:val="0"/>
          <w:numId w:val="15"/>
        </w:numPr>
      </w:pPr>
      <w:r>
        <w:rPr>
          <w:b w:val="0"/>
          <w:i w:val="0"/>
        </w:rPr>
        <w:t>정해진 평가 과제와 접근성 설정만 확인한다.</w:t>
      </w:r>
    </w:p>
    <w:p>
      <w:pPr>
        <w:pStyle w:val="MODUABullet"/>
        <w:numPr>
          <w:ilvl w:val="0"/>
          <w:numId w:val="15"/>
        </w:numPr>
      </w:pPr>
      <w:r>
        <w:rPr>
          <w:b w:val="0"/>
          <w:i w:val="0"/>
        </w:rPr>
        <w:t>이용자의 이름, 원본 대화, 상세 건강 기록에 접근하지 않는다.</w:t>
      </w:r>
    </w:p>
    <w:p>
      <w:pPr>
        <w:pStyle w:val="MODUABullet"/>
        <w:numPr>
          <w:ilvl w:val="0"/>
          <w:numId w:val="15"/>
        </w:numPr>
      </w:pPr>
      <w:r>
        <w:rPr>
          <w:b w:val="0"/>
          <w:i w:val="0"/>
        </w:rPr>
        <w:t>오류와 개선 의견을 남기고, 확인된 평가 기여에 대해 양도 불가능한 MODUA 포인트를 받을 수 있다.</w:t>
      </w:r>
    </w:p>
    <w:p>
      <w:pPr>
        <w:pStyle w:val="Heading3"/>
      </w:pPr>
      <w:r>
        <w:rPr>
          <w:b w:val="0"/>
          <w:i w:val="0"/>
        </w:rPr>
        <w:t>복지기관·지자체</w:t>
      </w:r>
    </w:p>
    <w:p>
      <w:pPr>
        <w:pStyle w:val="MODUABullet"/>
        <w:numPr>
          <w:ilvl w:val="0"/>
          <w:numId w:val="16"/>
        </w:numPr>
      </w:pPr>
      <w:r>
        <w:rPr>
          <w:b w:val="0"/>
          <w:i w:val="0"/>
        </w:rPr>
        <w:t>계약과 사용자 동의 범위에서 참여 상태와 활동 증빙을 확인한다.</w:t>
      </w:r>
    </w:p>
    <w:p>
      <w:pPr>
        <w:pStyle w:val="MODUABullet"/>
        <w:numPr>
          <w:ilvl w:val="0"/>
          <w:numId w:val="16"/>
        </w:numPr>
      </w:pPr>
      <w:r>
        <w:rPr>
          <w:b w:val="0"/>
          <w:i w:val="0"/>
        </w:rPr>
        <w:t>개인별 원문보다 필요한 집계 결과를 우선 사용한다.</w:t>
      </w:r>
    </w:p>
    <w:p>
      <w:pPr>
        <w:pStyle w:val="MODUABullet"/>
        <w:numPr>
          <w:ilvl w:val="0"/>
          <w:numId w:val="16"/>
        </w:numPr>
      </w:pPr>
      <w:r>
        <w:rPr>
          <w:b w:val="0"/>
          <w:i w:val="0"/>
        </w:rPr>
        <w:t>지원 품질과 분쟁을 살피되, 이용자의 모든 생활을 포괄적으로 감시하지 않는다.</w:t>
      </w:r>
    </w:p>
    <w:p>
      <w:pPr>
        <w:pStyle w:val="Heading3"/>
      </w:pPr>
      <w:r>
        <w:rPr>
          <w:b w:val="0"/>
          <w:i w:val="0"/>
        </w:rPr>
        <w:t>지역·CSR 파트너</w:t>
      </w:r>
    </w:p>
    <w:p>
      <w:pPr>
        <w:pStyle w:val="MODUABullet"/>
        <w:numPr>
          <w:ilvl w:val="0"/>
          <w:numId w:val="17"/>
        </w:numPr>
      </w:pPr>
      <w:r>
        <w:rPr>
          <w:b w:val="0"/>
          <w:i w:val="0"/>
        </w:rPr>
        <w:t>후원한 양도 불가능한 MODUA 포인트 재원의 사용 목적과 집계 성과를 확인한다.</w:t>
      </w:r>
    </w:p>
    <w:p>
      <w:pPr>
        <w:pStyle w:val="MODUABullet"/>
        <w:numPr>
          <w:ilvl w:val="0"/>
          <w:numId w:val="17"/>
        </w:numPr>
      </w:pPr>
      <w:r>
        <w:rPr>
          <w:b w:val="0"/>
          <w:i w:val="0"/>
        </w:rPr>
        <w:t>개인의 신원, 대화, 건강 기록은 볼 수 없다.</w:t>
      </w:r>
    </w:p>
    <w:p>
      <w:pPr>
        <w:pStyle w:val="MODUABullet"/>
        <w:numPr>
          <w:ilvl w:val="0"/>
          <w:numId w:val="17"/>
        </w:numPr>
      </w:pPr>
      <w:r>
        <w:rPr>
          <w:b w:val="0"/>
          <w:i w:val="0"/>
        </w:rPr>
        <w:t>후원을 이유로 이용자의 선택이나 서비스 접근을 제한할 수 없다.</w:t>
      </w:r>
    </w:p>
    <w:p>
      <w:r>
        <w:rPr>
          <w:b w:val="0"/>
          <w:i w:val="0"/>
        </w:rPr>
        <w:t>권한은 역할, 목적, 항목, 기간별로 나눈다. 한 사람이 도움 제공과 최종 승인을 모두 독점하지 않도록 하고, 꼭 필요한 최소 활동 기록만 남긴다.</w:t>
      </w:r>
    </w:p>
    <w:p>
      <w:pPr>
        <w:pStyle w:val="Heading2"/>
      </w:pPr>
      <w:r>
        <w:rPr>
          <w:b w:val="0"/>
          <w:i w:val="0"/>
        </w:rPr>
        <w:t>6. AI 생활자립 에이전트 경험</w:t>
      </w:r>
    </w:p>
    <w:p>
      <w:r>
        <w:rPr>
          <w:b w:val="0"/>
          <w:i w:val="0"/>
        </w:rPr>
        <w:t>다음 시나리오는 MODUA가 사람의 권한을 지키면서 일상을 돕는 모습을 보여준다.</w:t>
      </w:r>
    </w:p>
    <w:p>
      <w:pPr>
        <w:pStyle w:val="Heading3"/>
      </w:pPr>
      <w:r>
        <w:rPr>
          <w:b w:val="0"/>
          <w:i w:val="0"/>
        </w:rPr>
        <w:t>시나리오 1. 공공 안내문을 촬영해 듣기</w:t>
      </w:r>
    </w:p>
    <w:p>
      <w:pPr>
        <w:pStyle w:val="MODUANumber"/>
        <w:numPr>
          <w:ilvl w:val="0"/>
          <w:numId w:val="18"/>
        </w:numPr>
      </w:pPr>
      <w:r>
        <w:rPr>
          <w:b w:val="0"/>
          <w:i w:val="0"/>
        </w:rPr>
        <w:t>사용자가 휴대전화로 공공 안내문을 촬영한다.</w:t>
      </w:r>
    </w:p>
    <w:p>
      <w:pPr>
        <w:pStyle w:val="MODUANumber"/>
        <w:numPr>
          <w:ilvl w:val="0"/>
          <w:numId w:val="18"/>
        </w:numPr>
      </w:pPr>
      <w:r>
        <w:rPr>
          <w:b w:val="0"/>
          <w:i w:val="0"/>
        </w:rPr>
        <w:t>AI가 안내문의 목적, 신청 마감일, 준비할 것, 다음 행동을 짧은 문장으로 정리한다.</w:t>
      </w:r>
    </w:p>
    <w:p>
      <w:pPr>
        <w:pStyle w:val="MODUANumber"/>
        <w:numPr>
          <w:ilvl w:val="0"/>
          <w:numId w:val="18"/>
        </w:numPr>
      </w:pPr>
      <w:r>
        <w:rPr>
          <w:b w:val="0"/>
          <w:i w:val="0"/>
        </w:rPr>
        <w:t>사용자는 음성으로 내용을 듣고, 필요한 부분을 천천히 다시 들을 수 있다.</w:t>
      </w:r>
    </w:p>
    <w:p>
      <w:pPr>
        <w:pStyle w:val="MODUANumber"/>
        <w:numPr>
          <w:ilvl w:val="0"/>
          <w:numId w:val="18"/>
        </w:numPr>
      </w:pPr>
      <w:r>
        <w:rPr>
          <w:b w:val="0"/>
          <w:i w:val="0"/>
        </w:rPr>
        <w:t>글자가 흐리거나 내용이 확실하지 않으면 AI는 추측하지 않고 다시 촬영하거나 담당 기관에 확인하라고 안내한다.</w:t>
      </w:r>
    </w:p>
    <w:p>
      <w:pPr>
        <w:pStyle w:val="Heading3"/>
      </w:pPr>
      <w:r>
        <w:rPr>
          <w:b w:val="0"/>
          <w:i w:val="0"/>
        </w:rPr>
        <w:t>시나리오 2. 불필요한 개인 내용을 숨기고 도움 요청하기</w:t>
      </w:r>
    </w:p>
    <w:p>
      <w:pPr>
        <w:pStyle w:val="MODUANumber"/>
        <w:numPr>
          <w:ilvl w:val="0"/>
          <w:numId w:val="19"/>
        </w:numPr>
      </w:pPr>
      <w:r>
        <w:rPr>
          <w:b w:val="0"/>
          <w:i w:val="0"/>
        </w:rPr>
        <w:t>사용자가 “이 신청을 도와주세요”라고 말한다.</w:t>
      </w:r>
    </w:p>
    <w:p>
      <w:pPr>
        <w:pStyle w:val="MODUANumber"/>
        <w:numPr>
          <w:ilvl w:val="0"/>
          <w:numId w:val="19"/>
        </w:numPr>
      </w:pPr>
      <w:r>
        <w:rPr>
          <w:b w:val="0"/>
          <w:i w:val="0"/>
        </w:rPr>
        <w:t>AI는 자원봉사자에게 필요한 과업, 시간, 장소만 담은 요청 초안을 만든다.</w:t>
      </w:r>
    </w:p>
    <w:p>
      <w:pPr>
        <w:pStyle w:val="MODUANumber"/>
        <w:numPr>
          <w:ilvl w:val="0"/>
          <w:numId w:val="19"/>
        </w:numPr>
      </w:pPr>
      <w:r>
        <w:rPr>
          <w:b w:val="0"/>
          <w:i w:val="0"/>
        </w:rPr>
        <w:t>사용자는 초안에서 보낼 내용을 직접 확인하고 고친다.</w:t>
      </w:r>
    </w:p>
    <w:p>
      <w:pPr>
        <w:pStyle w:val="MODUANumber"/>
        <w:numPr>
          <w:ilvl w:val="0"/>
          <w:numId w:val="19"/>
        </w:numPr>
      </w:pPr>
      <w:r>
        <w:rPr>
          <w:b w:val="0"/>
          <w:i w:val="0"/>
        </w:rPr>
        <w:t>자원봉사자는 요청과 무관한 건강 기록, 금융 기록, 가족관계를 보지 않고 필요한 도움만 수행한다.</w:t>
      </w:r>
    </w:p>
    <w:p>
      <w:pPr>
        <w:pStyle w:val="Heading3"/>
      </w:pPr>
      <w:r>
        <w:rPr>
          <w:b w:val="0"/>
          <w:i w:val="0"/>
        </w:rPr>
        <w:t>시나리오 3. 병원 방문 준비하기</w:t>
      </w:r>
    </w:p>
    <w:p>
      <w:pPr>
        <w:pStyle w:val="MODUANumber"/>
        <w:numPr>
          <w:ilvl w:val="0"/>
          <w:numId w:val="20"/>
        </w:numPr>
      </w:pPr>
      <w:r>
        <w:rPr>
          <w:b w:val="0"/>
          <w:i w:val="0"/>
        </w:rPr>
        <w:t>사용자가 방문 일정, 복용 중인 약, 생활 습관, 의료진에게 물을 내용을 정리해 달라고 요청한다.</w:t>
      </w:r>
    </w:p>
    <w:p>
      <w:pPr>
        <w:pStyle w:val="MODUANumber"/>
        <w:numPr>
          <w:ilvl w:val="0"/>
          <w:numId w:val="20"/>
        </w:numPr>
      </w:pPr>
      <w:r>
        <w:rPr>
          <w:b w:val="0"/>
          <w:i w:val="0"/>
        </w:rPr>
        <w:t>AI는 진단이나 처방 변경 없이 한 쪽짜리 복약·생활 요약 초안을 만든다.</w:t>
      </w:r>
    </w:p>
    <w:p>
      <w:pPr>
        <w:pStyle w:val="MODUANumber"/>
        <w:numPr>
          <w:ilvl w:val="0"/>
          <w:numId w:val="20"/>
        </w:numPr>
      </w:pPr>
      <w:r>
        <w:rPr>
          <w:b w:val="0"/>
          <w:i w:val="0"/>
        </w:rPr>
        <w:t>사용자는 포함할 항목을 고치고 화면이나 종이로 보여줄 최종 내용을 직접 확인한다.</w:t>
      </w:r>
    </w:p>
    <w:p>
      <w:pPr>
        <w:pStyle w:val="MODUANumber"/>
        <w:numPr>
          <w:ilvl w:val="0"/>
          <w:numId w:val="20"/>
        </w:numPr>
      </w:pPr>
      <w:r>
        <w:rPr>
          <w:b w:val="0"/>
          <w:i w:val="0"/>
        </w:rPr>
        <w:t xml:space="preserve">병원 기능은 </w:t>
      </w:r>
      <w:r>
        <w:rPr>
          <w:rFonts w:ascii="Noto Sans KR" w:hAnsi="Noto Sans KR" w:eastAsia="Noto Sans KR"/>
          <w:b w:val="0"/>
          <w:i w:val="0"/>
          <w:sz w:val="21"/>
        </w:rPr>
        <w:t>병원 시스템에 접속하지 않는 방문 준비 → 사용자가 최종 확인한 화면·PDF 한 쪽 요약 → 병원 계약·보안검토·사용자 명시적 승인을 마친 뒤의 계약된 읽기 전용 KR Core V2/FHIR R4 교류</w:t>
      </w:r>
      <w:r>
        <w:rPr>
          <w:b w:val="0"/>
          <w:i w:val="0"/>
        </w:rPr>
        <w:t xml:space="preserve"> 순서로만 넓힌다. 마지막 단계는 후기 단계에서만 검토한다.</w:t>
      </w:r>
    </w:p>
    <w:p>
      <w:pPr>
        <w:pStyle w:val="Heading3"/>
      </w:pPr>
      <w:r>
        <w:rPr>
          <w:b w:val="0"/>
          <w:i w:val="0"/>
        </w:rPr>
        <w:t>시나리오 4. 금액과 받는 사람을 확인한 뒤 직접 승인하기</w:t>
      </w:r>
    </w:p>
    <w:p>
      <w:pPr>
        <w:pStyle w:val="MODUANumber"/>
        <w:numPr>
          <w:ilvl w:val="0"/>
          <w:numId w:val="21"/>
        </w:numPr>
      </w:pPr>
      <w:r>
        <w:rPr>
          <w:b w:val="0"/>
          <w:i w:val="0"/>
        </w:rPr>
        <w:t>사용자 최종 승인이 필요한 결제 화면에서 AI가 금액, 받는 사람, 수수료, 정기 여부를 큰 글자와 음성으로 다시 알려준다.</w:t>
      </w:r>
    </w:p>
    <w:p>
      <w:pPr>
        <w:pStyle w:val="MODUANumber"/>
        <w:numPr>
          <w:ilvl w:val="0"/>
          <w:numId w:val="21"/>
        </w:numPr>
      </w:pPr>
      <w:r>
        <w:rPr>
          <w:b w:val="0"/>
          <w:i w:val="0"/>
        </w:rPr>
        <w:t>내용이 다르거나 사기가 의심되면 사용자 최종 승인 없이 결제를 멈추고 담당자에게 연결한다.</w:t>
      </w:r>
    </w:p>
    <w:p>
      <w:pPr>
        <w:pStyle w:val="MODUANumber"/>
        <w:numPr>
          <w:ilvl w:val="0"/>
          <w:numId w:val="21"/>
        </w:numPr>
      </w:pPr>
      <w:r>
        <w:rPr>
          <w:b w:val="0"/>
          <w:i w:val="0"/>
        </w:rPr>
        <w:t>내용이 맞아도 AI가 대신 누르지 않는다. 사용자 최종 승인 단계에서 본인이 기존 인증수단으로 결제를 직접 승인한다.</w:t>
      </w:r>
    </w:p>
    <w:p>
      <w:pPr>
        <w:pStyle w:val="MODUANumber"/>
        <w:numPr>
          <w:ilvl w:val="0"/>
          <w:numId w:val="21"/>
        </w:numPr>
      </w:pPr>
      <w:r>
        <w:rPr>
          <w:b w:val="0"/>
          <w:i w:val="0"/>
        </w:rPr>
        <w:t>결과가 분명하지 않으면 사용자 최종 승인과 별개로 결제를 완료라고 추정하거나 자동으로 다시 시도하지 않는다.</w:t>
      </w:r>
    </w:p>
    <w:p>
      <w:pPr>
        <w:pStyle w:val="Heading3"/>
      </w:pPr>
      <w:r>
        <w:rPr>
          <w:b w:val="0"/>
          <w:i w:val="0"/>
        </w:rPr>
        <w:t>시나리오 5. 도움을 함께 확인하고 양도 불가능한 MODUA 포인트 받기</w:t>
      </w:r>
    </w:p>
    <w:p>
      <w:pPr>
        <w:pStyle w:val="MODUANumber"/>
        <w:numPr>
          <w:ilvl w:val="0"/>
          <w:numId w:val="22"/>
        </w:numPr>
      </w:pPr>
      <w:r>
        <w:rPr>
          <w:b w:val="0"/>
          <w:i w:val="0"/>
        </w:rPr>
        <w:t>도움을 제공한 사람은 한 일을 짧게 기록한다.</w:t>
      </w:r>
    </w:p>
    <w:p>
      <w:pPr>
        <w:pStyle w:val="MODUANumber"/>
        <w:numPr>
          <w:ilvl w:val="0"/>
          <w:numId w:val="22"/>
        </w:numPr>
      </w:pPr>
      <w:r>
        <w:rPr>
          <w:b w:val="0"/>
          <w:i w:val="0"/>
        </w:rPr>
        <w:t>도움을 받은 사람은 내용이 맞는지 확인한다.</w:t>
      </w:r>
    </w:p>
    <w:p>
      <w:pPr>
        <w:pStyle w:val="MODUANumber"/>
        <w:numPr>
          <w:ilvl w:val="0"/>
          <w:numId w:val="22"/>
        </w:numPr>
      </w:pPr>
      <w:r>
        <w:rPr>
          <w:b w:val="0"/>
          <w:i w:val="0"/>
        </w:rPr>
        <w:t>두 사람이 모두 완료를 확인하면 양도 불가능한 MODUA 포인트가 기록된다.</w:t>
      </w:r>
    </w:p>
    <w:p>
      <w:pPr>
        <w:pStyle w:val="MODUANumber"/>
        <w:numPr>
          <w:ilvl w:val="0"/>
          <w:numId w:val="22"/>
        </w:numPr>
      </w:pPr>
      <w:r>
        <w:rPr>
          <w:b w:val="0"/>
          <w:i w:val="0"/>
        </w:rPr>
        <w:t>이견이 있으면 양도 불가능한 MODUA 포인트를 바로 확정하지 않고 사람이 기록을 검토한다.</w:t>
      </w:r>
    </w:p>
    <w:p>
      <w:pPr>
        <w:pStyle w:val="MODUANumber"/>
        <w:numPr>
          <w:ilvl w:val="0"/>
          <w:numId w:val="22"/>
        </w:numPr>
      </w:pPr>
      <w:r>
        <w:rPr>
          <w:b w:val="0"/>
          <w:i w:val="0"/>
        </w:rPr>
        <w:t>양도 불가능한 MODUA 포인트는 토큰 없이 작동하며 다른 사람에게 보내거나 현금·가상자산으로 바꿀 수 없다. 도움을 받기 위해 토큰을 사거나 보유할 필요도 없다.</w:t>
      </w:r>
    </w:p>
    <w:p>
      <w:pPr>
        <w:pStyle w:val="Heading2"/>
      </w:pPr>
      <w:r>
        <w:rPr>
          <w:b w:val="0"/>
          <w:i w:val="0"/>
        </w:rPr>
        <w:t>7. 저비용 AI·에이전트 전략</w:t>
      </w:r>
    </w:p>
    <w:p>
      <w:r>
        <w:rPr>
          <w:b w:val="0"/>
          <w:i w:val="0"/>
        </w:rPr>
        <w:t>MODUA는 큰 기반모델을 직접 만드는 대신, 기존 상용 또는 오픈소스 LLM과 음성인식, 음성합성, 문서인식 기술을 조합한다. 특정 모델 회사에 종속되지 않도록 공급자 중립 라우터를 두고, 과업의 난이도와 민감도에 맞는 모델을 고른다. 모델을 바꾸더라도 동의, 권한, 사람 확인 규칙은 바뀌지 않는다.</w:t>
      </w:r>
    </w:p>
    <w:p>
      <w:r>
        <w:rPr>
          <w:b w:val="0"/>
          <w:i w:val="0"/>
        </w:rPr>
        <w:t xml:space="preserve">기본 권한 흐름은 </w:t>
      </w:r>
      <w:r>
        <w:rPr>
          <w:rFonts w:ascii="Noto Sans KR" w:hAnsi="Noto Sans KR" w:eastAsia="Noto Sans KR"/>
          <w:b w:val="0"/>
          <w:i w:val="0"/>
          <w:sz w:val="21"/>
        </w:rPr>
        <w:t>설명 → 초안 준비 → 사람의 최종 승인</w:t>
      </w:r>
      <w:r>
        <w:rPr>
          <w:b w:val="0"/>
          <w:i w:val="0"/>
        </w:rPr>
        <w:t>이다.</w:t>
      </w:r>
    </w:p>
    <w:p>
      <w:pPr>
        <w:pStyle w:val="MODUANumber"/>
        <w:numPr>
          <w:ilvl w:val="0"/>
          <w:numId w:val="23"/>
        </w:numPr>
      </w:pPr>
      <w:r>
        <w:rPr>
          <w:b/>
          <w:i w:val="0"/>
        </w:rPr>
        <w:t>설명</w:t>
      </w:r>
      <w:r>
        <w:rPr>
          <w:b w:val="0"/>
          <w:i w:val="0"/>
        </w:rPr>
        <w:t>: 공공 안내문, 복지 정보, 일정처럼 읽고 정리하는 일은 쉬운 말과 음성으로 바로 설명한다.</w:t>
      </w:r>
    </w:p>
    <w:p>
      <w:pPr>
        <w:pStyle w:val="MODUANumber"/>
        <w:numPr>
          <w:ilvl w:val="0"/>
          <w:numId w:val="23"/>
        </w:numPr>
      </w:pPr>
      <w:r>
        <w:rPr>
          <w:b/>
          <w:i w:val="0"/>
        </w:rPr>
        <w:t>초안 준비</w:t>
      </w:r>
      <w:r>
        <w:rPr>
          <w:b w:val="0"/>
          <w:i w:val="0"/>
        </w:rPr>
        <w:t>: 도움 요청, 예약 정보, 외부로 보낼 요약은 사용자가 고칠 수 있는 초안까지만 만든다.</w:t>
      </w:r>
    </w:p>
    <w:p>
      <w:pPr>
        <w:pStyle w:val="MODUANumber"/>
        <w:numPr>
          <w:ilvl w:val="0"/>
          <w:numId w:val="23"/>
        </w:numPr>
      </w:pPr>
      <w:r>
        <w:rPr>
          <w:b/>
          <w:i w:val="0"/>
        </w:rPr>
        <w:t>사람의 최종 승인</w:t>
      </w:r>
      <w:r>
        <w:rPr>
          <w:b w:val="0"/>
          <w:i w:val="0"/>
        </w:rPr>
        <w:t>: 예약 확정, 계약 체결, 의료 관련 선택, 사용자 최종 승인이 필요한 금융 행동, 민감한 정보의 외부 사용은 사람이 내용을 다시 보고 직접 승인한다.</w:t>
      </w:r>
    </w:p>
    <w:p>
      <w:r>
        <w:rPr>
          <w:b w:val="0"/>
          <w:i w:val="0"/>
        </w:rPr>
        <w:t>에이전트 게이트웨이는 모델 호출 전에 역할, 목적, 항목, 기간을 확인한다. 확인 가능한 근거를 먼저 찾는 검색 방식(RAG)은 출처와 갱신일을 확인할 수 있는 공공·복지 자료를 우선 찾고, 답을 뒷받침할 자료가 없으면 모른다고 말한다. 정책 검사는 허용되지 않은 도구 호출을 막고, 금액이나 건강정보처럼 위험도가 높은 항목은 사람에게 넘긴다.</w:t>
      </w:r>
    </w:p>
    <w:p>
      <w:r>
        <w:rPr>
          <w:b w:val="0"/>
          <w:i w:val="0"/>
        </w:rPr>
        <w:t>감사 이벤트에는 누가 어떤 목적의 요청을 했는지, 어떤 정책이 적용되었는지, 초안이 승인·거절·취소되었는지를 최소한으로 남긴다. 원본 음성이나 전체 대화를 감사 기록에 그대로 복사하지 않는다. 사용자는 주요 결과의 이유를 듣고 사람의 재검토를 요청할 수 있다.</w:t>
      </w:r>
    </w:p>
    <w:p>
      <w:r>
        <w:rPr>
          <w:b w:val="0"/>
          <w:i w:val="0"/>
        </w:rPr>
        <w:t>AI는 의료 진단이나 처방 변경, 금융 판단이나 자산 이동, 계약 동의, 개인정보 공개를 자율적으로 결정하거나 실행하지 않는다. 뜻이 불분명하거나 강압·사기·응급 가능성이 보이면 실행을 멈추고 담당 기관, 의료진, 공공 긴급 서비스 또는 사용자가 정한 사람에게 연결한다.</w:t>
      </w:r>
    </w:p>
    <w:p>
      <w:pPr>
        <w:pStyle w:val="Heading2"/>
      </w:pPr>
      <w:r>
        <w:rPr>
          <w:b w:val="0"/>
          <w:i w:val="0"/>
        </w:rPr>
        <w:t>8. Samsung Watch 정보수집과 웰니스 경계</w:t>
      </w:r>
    </w:p>
    <w:p>
      <w:r>
        <w:rPr>
          <w:b w:val="0"/>
          <w:i w:val="0"/>
        </w:rPr>
        <w:t>워치 기능은 선택 사항이다. MODUA는 삼성의 공식 파트너가 아니며, 삼성 기기나 SDK의 지원 범위를 MODUA가 보증하지 않는다.</w:t>
      </w:r>
    </w:p>
    <w:p>
      <w:r>
        <w:rPr>
          <w:b w:val="0"/>
          <w:i w:val="0"/>
        </w:rPr>
        <w:t>Samsung Health Data SDK는 걸음·수면·심박 등 선택 데이터를 읽을 수 있다. [C-SAMSUNG-DATA-CAPABILITY] [S-SAMSUNG-DATA-SDK]</w:t>
      </w:r>
    </w:p>
    <w:p>
      <w:r>
        <w:rPr>
          <w:b w:val="0"/>
          <w:i w:val="0"/>
        </w:rPr>
        <w:t>초기 흐름은 다음과 같다.</w:t>
      </w:r>
    </w:p>
    <w:p>
      <w:pPr>
        <w:pStyle w:val="MODUANumber"/>
        <w:numPr>
          <w:ilvl w:val="0"/>
          <w:numId w:val="24"/>
        </w:numPr>
      </w:pPr>
      <w:r>
        <w:rPr>
          <w:b w:val="0"/>
          <w:i w:val="0"/>
        </w:rPr>
        <w:t>사용자가 휴대전화에서 항목과 기간을 고르고 접근을 허용한다.</w:t>
      </w:r>
    </w:p>
    <w:p>
      <w:pPr>
        <w:pStyle w:val="MODUANumber"/>
        <w:numPr>
          <w:ilvl w:val="0"/>
          <w:numId w:val="24"/>
        </w:numPr>
      </w:pPr>
      <w:r>
        <w:rPr>
          <w:b w:val="0"/>
          <w:i w:val="0"/>
        </w:rPr>
        <w:t>Samsung Health Data SDK를 통해 승인된 걸음 수, 수면 시간, 심박 요약처럼 필요한 집계정보만 읽는다.</w:t>
      </w:r>
    </w:p>
    <w:p>
      <w:pPr>
        <w:pStyle w:val="MODUANumber"/>
        <w:numPr>
          <w:ilvl w:val="0"/>
          <w:numId w:val="24"/>
        </w:numPr>
      </w:pPr>
      <w:r>
        <w:rPr>
          <w:b w:val="0"/>
          <w:i w:val="0"/>
        </w:rPr>
        <w:t>MODUA는 날짜, 측정 시각, 기기 출처와 누락 여부를 함께 보여준다.</w:t>
      </w:r>
    </w:p>
    <w:p>
      <w:pPr>
        <w:pStyle w:val="MODUANumber"/>
        <w:numPr>
          <w:ilvl w:val="0"/>
          <w:numId w:val="24"/>
        </w:numPr>
      </w:pPr>
      <w:r>
        <w:rPr>
          <w:b w:val="0"/>
          <w:i w:val="0"/>
        </w:rPr>
        <w:t>사용자는 허용을 끄거나 저장된 요약의 삭제를 요청할 수 있다.</w:t>
      </w:r>
    </w:p>
    <w:p>
      <w:r>
        <w:rPr>
          <w:b w:val="0"/>
          <w:i w:val="0"/>
        </w:rPr>
        <w:t xml:space="preserve">워치를 차지 않았거나 배터리가 부족하거나 동기화가 실패하면 값을 추정하지 않는다. 화면에는 </w:t>
      </w:r>
      <w:r>
        <w:rPr>
          <w:rFonts w:ascii="Noto Sans KR" w:hAnsi="Noto Sans KR" w:eastAsia="Noto Sans KR"/>
          <w:b w:val="0"/>
          <w:i w:val="0"/>
          <w:sz w:val="21"/>
        </w:rPr>
        <w:t>데이터 없음</w:t>
      </w:r>
      <w:r>
        <w:rPr>
          <w:b w:val="0"/>
          <w:i w:val="0"/>
        </w:rPr>
        <w:t>과 확인 가능한 원인을 표시하고, 이전 값이 현재 값처럼 보이지 않게 측정 시각을 함께 보여준다. 누락이 많으면 추세 설명도 보류한다.</w:t>
      </w:r>
    </w:p>
    <w:p>
      <w:r>
        <w:rPr>
          <w:b w:val="0"/>
          <w:i w:val="0"/>
        </w:rPr>
        <w:t>Samsung Health Sensor SDK는 지원되는 기기에서 센서 측정값을 읽는 기능을 제공한다. [C-SAMSUNG-SENSOR-CAPABILITY] [S-SAMSUNG-SENSOR-SDK]</w:t>
      </w:r>
    </w:p>
    <w:p>
      <w:r>
        <w:rPr>
          <w:b w:val="0"/>
          <w:i w:val="0"/>
        </w:rPr>
        <w:t>MODUA 설계에서 Sensor SDK를 이용한 원시 심전도(ECG)·광혈류측정(PPG) 신호와 연속 센서 처리는 초기 기능이 아니다. 병원 공동연구의 필요성, 별도 연구 동의, 필요한 기관심의, 기기 지원 여부와 보안 검증을 모두 확인한 후기 선택 연구에서만 검토한다. 연구 조건이 갖춰지지 않으면 Data SDK 집계정보 흐름을 유지한다.</w:t>
      </w:r>
    </w:p>
    <w:p>
      <w:r>
        <w:rPr>
          <w:b w:val="0"/>
          <w:i w:val="0"/>
        </w:rPr>
        <w:t>Samsung Health SDK 데이터는 진단·치료 목적이 아닌 웰니스 범위로 시작한다. [C-SAMSUNG-WELLNESS-LIMIT] [S-SAMSUNG-DATA-SDK] [S-SAMSUNG-SENSOR-SDK]</w:t>
      </w:r>
    </w:p>
    <w:p>
      <w:r>
        <w:rPr>
          <w:b w:val="0"/>
          <w:i w:val="0"/>
        </w:rPr>
        <w:t>MODUA는 걸음, 수면, 심박 요약으로 질병을 진단하거나 치료 결과를 말하지 않는다. 이상해 보이는 값도 응급판정으로 확정하지 않고, 사용자가 의료진이나 지역 응급 서비스에 연락할 선택지를 안내한다.</w:t>
      </w:r>
    </w:p>
    <w:p>
      <w:pPr>
        <w:pStyle w:val="Heading2"/>
      </w:pPr>
      <w:r>
        <w:rPr>
          <w:b w:val="0"/>
          <w:i w:val="0"/>
        </w:rPr>
        <w:t>9. 병원 연계와 KR Core/FHIR</w:t>
      </w:r>
    </w:p>
    <w:p>
      <w:r>
        <w:rPr>
          <w:b w:val="0"/>
          <w:i w:val="0"/>
        </w:rPr>
        <w:t>병원 연계는 편리함보다 계약, 보안, 사용자 권리를 먼저 확인하며 세 단계로만 넓힌다.</w:t>
      </w:r>
    </w:p>
    <w:p>
      <w:pPr>
        <w:pStyle w:val="MODUANumber"/>
        <w:numPr>
          <w:ilvl w:val="0"/>
          <w:numId w:val="25"/>
        </w:numPr>
      </w:pPr>
      <w:r>
        <w:rPr>
          <w:b/>
          <w:i w:val="0"/>
        </w:rPr>
        <w:t>방문 지원</w:t>
      </w:r>
      <w:r>
        <w:rPr>
          <w:b w:val="0"/>
          <w:i w:val="0"/>
        </w:rPr>
        <w:t>: 일정, 이동, 준비물, 복용 중인 약, 생활 습관과 의료진에게 물을 내용을 정리한다. 병원 시스템에는 접속하지 않으며 AI가 진단이나 처방 변경을 제안하지 않는다.</w:t>
      </w:r>
    </w:p>
    <w:p>
      <w:pPr>
        <w:pStyle w:val="MODUANumber"/>
        <w:numPr>
          <w:ilvl w:val="0"/>
          <w:numId w:val="25"/>
        </w:numPr>
      </w:pPr>
      <w:r>
        <w:rPr>
          <w:b/>
          <w:i w:val="0"/>
        </w:rPr>
        <w:t>동의된 화면·PDF 요약</w:t>
      </w:r>
      <w:r>
        <w:rPr>
          <w:b w:val="0"/>
          <w:i w:val="0"/>
        </w:rPr>
        <w:t>: 사용자가 항목을 고치고 최종 확인한 한 쪽 요약을 화면이나 PDF로 보여준다. 의료진은 읽기 전용으로 확인하고, MODUA가 전자의무기록(EMR)에 내용을 쓰지 않는다.</w:t>
      </w:r>
    </w:p>
    <w:p>
      <w:pPr>
        <w:pStyle w:val="MODUANumber"/>
        <w:numPr>
          <w:ilvl w:val="0"/>
          <w:numId w:val="25"/>
        </w:numPr>
      </w:pPr>
      <w:r>
        <w:rPr>
          <w:b/>
          <w:i w:val="0"/>
        </w:rPr>
        <w:t>계약된 표준 교류</w:t>
      </w:r>
      <w:r>
        <w:rPr>
          <w:b w:val="0"/>
          <w:i w:val="0"/>
        </w:rPr>
        <w:t>: 병원 계약, 보안검토, 사용자 명시적 승인을 모두 마친 후기 단계에서만 계약된 읽기 전용 KR Core V2/FHIR R4 교류를 적용한다. 전자의무기록 자동 쓰기, 자동 진단, 자동 처방은 이 단계에도 포함하지 않는다.</w:t>
      </w:r>
    </w:p>
    <w:p>
      <w:r>
        <w:rPr>
          <w:b w:val="0"/>
          <w:i w:val="0"/>
        </w:rPr>
        <w:t>건강정보 고속도로는 사용자 동의에 따른 건강정보 교류 정책이다. [C-MOHW-CONSENTED-HEALTH-EXCHANGE] [S-MOHW-MYHEALTHWAY]</w:t>
      </w:r>
    </w:p>
    <w:p>
      <w:r>
        <w:rPr>
          <w:b w:val="0"/>
          <w:i w:val="0"/>
        </w:rPr>
        <w:t>KR Core V2는 FHIR R4 기반 국내 교류 상세규격이다. [C-KRCORE-FHIR-R4] [S-KRCORE-V2]</w:t>
      </w:r>
    </w:p>
    <w:p>
      <w:r>
        <w:rPr>
          <w:b w:val="0"/>
          <w:i w:val="0"/>
        </w:rPr>
        <w:t>화면과 PDF, 표준 교류에는 정보의 출처, 측정 시각, 단위, 누락 여부를 계속 표시한다. 단위가 다르거나 출처가 불분명하면 합치거나 추정하지 않고 경고하며 임상 활용 대상에서 제외한다. 원시 연속 신호보다 사용자가 확인한 일일 요약과 필요한 예외 기록을 우선한다.</w:t>
      </w:r>
    </w:p>
    <w:p>
      <w:r>
        <w:rPr>
          <w:b w:val="0"/>
          <w:i w:val="0"/>
        </w:rPr>
        <w:t>병원 연결이 끊기면 같은 내용을 자동으로 반복 전송하지 않는다. 사용자가 최종 확인한 화면·PDF 요약으로 돌아가고, 복구 전에는 전자의무기록 쓰기나 중복 전송을 시도하지 않는다. 병원과 계약하지 못하거나 보안검토를 통과하지 못하면 3단계로 나아가지 않는다.</w:t>
      </w:r>
    </w:p>
    <w:p>
      <w:pPr>
        <w:pStyle w:val="Heading2"/>
      </w:pPr>
      <w:r>
        <w:rPr>
          <w:b w:val="0"/>
          <w:i w:val="0"/>
        </w:rPr>
        <w:t>10. 개인정보·동의·선택 연구데이터</w:t>
      </w:r>
    </w:p>
    <w:p>
      <w:r>
        <w:rPr>
          <w:b w:val="0"/>
          <w:i w:val="0"/>
        </w:rPr>
        <w:t>동의 화면은 쉬운 말로 목적, 항목, 이용자, 보유기간, 철회 방법을 보여준다. 한 번의 전체 동의로 모든 목적을 묶지 않고 다음 네 갈래를 따로 선택하게 한다.</w:t>
      </w:r>
    </w:p>
    <w:tbl>
      <w:tblPr>
        <w:tblStyle w:val="TableGrid"/>
        <w:tblW w:type="dxa" w:w="9745"/>
        <w:jc w:val="left"/>
        <w:tblLayout w:type="fixed"/>
        <w:tblLook w:firstColumn="1" w:firstRow="1" w:lastColumn="0" w:lastRow="0" w:noHBand="0" w:noVBand="1" w:val="04A0"/>
        <w:tblInd w:w="120" w:type="dxa"/>
        <w:tblBorders>
          <w:top w:val="single" w:sz="6" w:color="AAB3BD"/>
          <w:left w:val="single" w:sz="6" w:color="AAB3BD"/>
          <w:bottom w:val="single" w:sz="6" w:color="AAB3BD"/>
          <w:right w:val="single" w:sz="6" w:color="AAB3BD"/>
          <w:insideH w:val="single" w:sz="6" w:color="AAB3BD"/>
          <w:insideV w:val="single" w:sz="6" w:color="AAB3BD"/>
        </w:tblBorders>
      </w:tblPr>
      <w:tblGrid>
        <w:gridCol w:w="1997"/>
        <w:gridCol w:w="2326"/>
        <w:gridCol w:w="2655"/>
        <w:gridCol w:w="2767"/>
      </w:tblGrid>
      <w:tr>
        <w:trPr>
          <w:tblHeader w:val="true"/>
        </w:trPr>
        <w:tc>
          <w:tcPr>
            <w:tcW w:type="dxa" w:w="1997"/>
            <w:shd w:fill="F4F6F9"/>
            <w:tcMar>
              <w:top w:w="80" w:type="dxa"/>
              <w:bottom w:w="80" w:type="dxa"/>
              <w:start w:w="120" w:type="dxa"/>
              <w:end w:w="120" w:type="dxa"/>
            </w:tcMar>
            <w:vAlign w:val="center"/>
          </w:tcPr>
          <w:p>
            <w:pPr>
              <w:pStyle w:val="MODUATableText"/>
            </w:pPr>
            <w:r>
              <w:rPr>
                <w:b/>
                <w:i w:val="0"/>
              </w:rPr>
              <w:t>경로</w:t>
            </w:r>
          </w:p>
        </w:tc>
        <w:tc>
          <w:tcPr>
            <w:tcW w:type="dxa" w:w="2326"/>
            <w:shd w:fill="F4F6F9"/>
            <w:tcMar>
              <w:top w:w="80" w:type="dxa"/>
              <w:bottom w:w="80" w:type="dxa"/>
              <w:start w:w="120" w:type="dxa"/>
              <w:end w:w="120" w:type="dxa"/>
            </w:tcMar>
            <w:vAlign w:val="center"/>
          </w:tcPr>
          <w:p>
            <w:pPr>
              <w:pStyle w:val="MODUATableText"/>
            </w:pPr>
            <w:r>
              <w:rPr>
                <w:b/>
                <w:i w:val="0"/>
              </w:rPr>
              <w:t>선택 방식</w:t>
            </w:r>
          </w:p>
        </w:tc>
        <w:tc>
          <w:tcPr>
            <w:tcW w:type="dxa" w:w="2655"/>
            <w:shd w:fill="F4F6F9"/>
            <w:tcMar>
              <w:top w:w="80" w:type="dxa"/>
              <w:bottom w:w="80" w:type="dxa"/>
              <w:start w:w="120" w:type="dxa"/>
              <w:end w:w="120" w:type="dxa"/>
            </w:tcMar>
            <w:vAlign w:val="center"/>
          </w:tcPr>
          <w:p>
            <w:pPr>
              <w:pStyle w:val="MODUATableText"/>
            </w:pPr>
            <w:r>
              <w:rPr>
                <w:b/>
                <w:i w:val="0"/>
              </w:rPr>
              <w:t>다루는 범위</w:t>
            </w:r>
          </w:p>
        </w:tc>
        <w:tc>
          <w:tcPr>
            <w:tcW w:type="dxa" w:w="2767"/>
            <w:shd w:fill="F4F6F9"/>
            <w:tcMar>
              <w:top w:w="80" w:type="dxa"/>
              <w:bottom w:w="80" w:type="dxa"/>
              <w:start w:w="120" w:type="dxa"/>
              <w:end w:w="120" w:type="dxa"/>
            </w:tcMar>
            <w:vAlign w:val="center"/>
          </w:tcPr>
          <w:p>
            <w:pPr>
              <w:pStyle w:val="MODUATableText"/>
            </w:pPr>
            <w:r>
              <w:rPr>
                <w:b/>
                <w:i w:val="0"/>
              </w:rPr>
              <w:t>기본 원칙</w:t>
            </w:r>
          </w:p>
        </w:tc>
      </w:tr>
      <w:tr>
        <w:tc>
          <w:tcPr>
            <w:tcW w:type="dxa" w:w="1997"/>
            <w:tcMar>
              <w:top w:w="80" w:type="dxa"/>
              <w:bottom w:w="80" w:type="dxa"/>
              <w:start w:w="120" w:type="dxa"/>
              <w:end w:w="120" w:type="dxa"/>
            </w:tcMar>
            <w:vAlign w:val="center"/>
          </w:tcPr>
          <w:p>
            <w:pPr>
              <w:pStyle w:val="MODUATableText"/>
            </w:pPr>
            <w:r>
              <w:rPr>
                <w:b w:val="0"/>
                <w:i w:val="0"/>
              </w:rPr>
              <w:t>서비스 운영</w:t>
            </w:r>
          </w:p>
        </w:tc>
        <w:tc>
          <w:tcPr>
            <w:tcW w:type="dxa" w:w="2326"/>
            <w:tcMar>
              <w:top w:w="80" w:type="dxa"/>
              <w:bottom w:w="80" w:type="dxa"/>
              <w:start w:w="120" w:type="dxa"/>
              <w:end w:w="120" w:type="dxa"/>
            </w:tcMar>
            <w:vAlign w:val="center"/>
          </w:tcPr>
          <w:p>
            <w:pPr>
              <w:pStyle w:val="MODUATableText"/>
            </w:pPr>
            <w:r>
              <w:rPr>
                <w:b w:val="0"/>
                <w:i w:val="0"/>
              </w:rPr>
              <w:t>서비스에 필요한 최소 범위</w:t>
            </w:r>
          </w:p>
        </w:tc>
        <w:tc>
          <w:tcPr>
            <w:tcW w:type="dxa" w:w="2655"/>
            <w:tcMar>
              <w:top w:w="80" w:type="dxa"/>
              <w:bottom w:w="80" w:type="dxa"/>
              <w:start w:w="120" w:type="dxa"/>
              <w:end w:w="120" w:type="dxa"/>
            </w:tcMar>
            <w:vAlign w:val="center"/>
          </w:tcPr>
          <w:p>
            <w:pPr>
              <w:pStyle w:val="MODUATableText"/>
            </w:pPr>
            <w:r>
              <w:rPr>
                <w:b w:val="0"/>
                <w:i w:val="0"/>
              </w:rPr>
              <w:t>계정, 동의 이력, 요청 상태</w:t>
            </w:r>
          </w:p>
        </w:tc>
        <w:tc>
          <w:tcPr>
            <w:tcW w:type="dxa" w:w="2767"/>
            <w:tcMar>
              <w:top w:w="80" w:type="dxa"/>
              <w:bottom w:w="80" w:type="dxa"/>
              <w:start w:w="120" w:type="dxa"/>
              <w:end w:w="120" w:type="dxa"/>
            </w:tcMar>
            <w:vAlign w:val="center"/>
          </w:tcPr>
          <w:p>
            <w:pPr>
              <w:pStyle w:val="MODUATableText"/>
            </w:pPr>
            <w:r>
              <w:rPr>
                <w:b w:val="0"/>
                <w:i w:val="0"/>
              </w:rPr>
              <w:t>서비스 제공, 보안, 분쟁 처리에만 사용</w:t>
            </w:r>
          </w:p>
        </w:tc>
      </w:tr>
      <w:tr>
        <w:tc>
          <w:tcPr>
            <w:tcW w:type="dxa" w:w="1997"/>
            <w:tcMar>
              <w:top w:w="80" w:type="dxa"/>
              <w:bottom w:w="80" w:type="dxa"/>
              <w:start w:w="120" w:type="dxa"/>
              <w:end w:w="120" w:type="dxa"/>
            </w:tcMar>
            <w:vAlign w:val="center"/>
          </w:tcPr>
          <w:p>
            <w:pPr>
              <w:pStyle w:val="MODUATableText"/>
            </w:pPr>
            <w:r>
              <w:rPr>
                <w:b w:val="0"/>
                <w:i w:val="0"/>
              </w:rPr>
              <w:t>개인화 기억</w:t>
            </w:r>
          </w:p>
        </w:tc>
        <w:tc>
          <w:tcPr>
            <w:tcW w:type="dxa" w:w="2326"/>
            <w:tcMar>
              <w:top w:w="80" w:type="dxa"/>
              <w:bottom w:w="80" w:type="dxa"/>
              <w:start w:w="120" w:type="dxa"/>
              <w:end w:w="120" w:type="dxa"/>
            </w:tcMar>
            <w:vAlign w:val="center"/>
          </w:tcPr>
          <w:p>
            <w:pPr>
              <w:pStyle w:val="MODUATableText"/>
            </w:pPr>
            <w:r>
              <w:rPr>
                <w:b w:val="0"/>
                <w:i w:val="0"/>
              </w:rPr>
              <w:t>선택</w:t>
            </w:r>
          </w:p>
        </w:tc>
        <w:tc>
          <w:tcPr>
            <w:tcW w:type="dxa" w:w="2655"/>
            <w:tcMar>
              <w:top w:w="80" w:type="dxa"/>
              <w:bottom w:w="80" w:type="dxa"/>
              <w:start w:w="120" w:type="dxa"/>
              <w:end w:w="120" w:type="dxa"/>
            </w:tcMar>
            <w:vAlign w:val="center"/>
          </w:tcPr>
          <w:p>
            <w:pPr>
              <w:pStyle w:val="MODUATableText"/>
            </w:pPr>
            <w:r>
              <w:rPr>
                <w:b w:val="0"/>
                <w:i w:val="0"/>
              </w:rPr>
              <w:t>선호 말투, 반복 일정, 접근성 설정</w:t>
            </w:r>
          </w:p>
        </w:tc>
        <w:tc>
          <w:tcPr>
            <w:tcW w:type="dxa" w:w="2767"/>
            <w:tcMar>
              <w:top w:w="80" w:type="dxa"/>
              <w:bottom w:w="80" w:type="dxa"/>
              <w:start w:w="120" w:type="dxa"/>
              <w:end w:w="120" w:type="dxa"/>
            </w:tcMar>
            <w:vAlign w:val="center"/>
          </w:tcPr>
          <w:p>
            <w:pPr>
              <w:pStyle w:val="MODUATableText"/>
            </w:pPr>
            <w:r>
              <w:rPr>
                <w:b w:val="0"/>
                <w:i w:val="0"/>
              </w:rPr>
              <w:t>사용자가 켜고 끄며 언제든 삭제 가능</w:t>
            </w:r>
          </w:p>
        </w:tc>
      </w:tr>
      <w:tr>
        <w:tc>
          <w:tcPr>
            <w:tcW w:type="dxa" w:w="1997"/>
            <w:tcMar>
              <w:top w:w="80" w:type="dxa"/>
              <w:bottom w:w="80" w:type="dxa"/>
              <w:start w:w="120" w:type="dxa"/>
              <w:end w:w="120" w:type="dxa"/>
            </w:tcMar>
            <w:vAlign w:val="center"/>
          </w:tcPr>
          <w:p>
            <w:pPr>
              <w:pStyle w:val="MODUATableText"/>
            </w:pPr>
            <w:r>
              <w:rPr>
                <w:b w:val="0"/>
                <w:i w:val="0"/>
              </w:rPr>
              <w:t>에이전트 개선</w:t>
            </w:r>
          </w:p>
        </w:tc>
        <w:tc>
          <w:tcPr>
            <w:tcW w:type="dxa" w:w="2326"/>
            <w:tcMar>
              <w:top w:w="80" w:type="dxa"/>
              <w:bottom w:w="80" w:type="dxa"/>
              <w:start w:w="120" w:type="dxa"/>
              <w:end w:w="120" w:type="dxa"/>
            </w:tcMar>
            <w:vAlign w:val="center"/>
          </w:tcPr>
          <w:p>
            <w:pPr>
              <w:pStyle w:val="MODUATableText"/>
            </w:pPr>
            <w:r>
              <w:rPr>
                <w:b w:val="0"/>
                <w:i w:val="0"/>
              </w:rPr>
              <w:t>별도 선택</w:t>
            </w:r>
          </w:p>
        </w:tc>
        <w:tc>
          <w:tcPr>
            <w:tcW w:type="dxa" w:w="2655"/>
            <w:tcMar>
              <w:top w:w="80" w:type="dxa"/>
              <w:bottom w:w="80" w:type="dxa"/>
              <w:start w:w="120" w:type="dxa"/>
              <w:end w:w="120" w:type="dxa"/>
            </w:tcMar>
            <w:vAlign w:val="center"/>
          </w:tcPr>
          <w:p>
            <w:pPr>
              <w:pStyle w:val="MODUATableText"/>
            </w:pPr>
            <w:r>
              <w:rPr>
                <w:b w:val="0"/>
                <w:i w:val="0"/>
              </w:rPr>
              <w:t>가명화된 평가, 성공·실패 표시</w:t>
            </w:r>
          </w:p>
        </w:tc>
        <w:tc>
          <w:tcPr>
            <w:tcW w:type="dxa" w:w="2767"/>
            <w:tcMar>
              <w:top w:w="80" w:type="dxa"/>
              <w:bottom w:w="80" w:type="dxa"/>
              <w:start w:w="120" w:type="dxa"/>
              <w:end w:w="120" w:type="dxa"/>
            </w:tcMar>
            <w:vAlign w:val="center"/>
          </w:tcPr>
          <w:p>
            <w:pPr>
              <w:pStyle w:val="MODUATableText"/>
            </w:pPr>
            <w:r>
              <w:rPr>
                <w:b w:val="0"/>
                <w:i w:val="0"/>
              </w:rPr>
              <w:t>거부해도 서비스와 보상에 불이익 없음</w:t>
            </w:r>
          </w:p>
        </w:tc>
      </w:tr>
      <w:tr>
        <w:tc>
          <w:tcPr>
            <w:tcW w:type="dxa" w:w="1997"/>
            <w:tcMar>
              <w:top w:w="80" w:type="dxa"/>
              <w:bottom w:w="80" w:type="dxa"/>
              <w:start w:w="120" w:type="dxa"/>
              <w:end w:w="120" w:type="dxa"/>
            </w:tcMar>
            <w:vAlign w:val="center"/>
          </w:tcPr>
          <w:p>
            <w:pPr>
              <w:pStyle w:val="MODUATableText"/>
            </w:pPr>
            <w:r>
              <w:rPr>
                <w:b w:val="0"/>
                <w:i w:val="0"/>
              </w:rPr>
              <w:t>의료·임상 연구</w:t>
            </w:r>
          </w:p>
        </w:tc>
        <w:tc>
          <w:tcPr>
            <w:tcW w:type="dxa" w:w="2326"/>
            <w:tcMar>
              <w:top w:w="80" w:type="dxa"/>
              <w:bottom w:w="80" w:type="dxa"/>
              <w:start w:w="120" w:type="dxa"/>
              <w:end w:w="120" w:type="dxa"/>
            </w:tcMar>
            <w:vAlign w:val="center"/>
          </w:tcPr>
          <w:p>
            <w:pPr>
              <w:pStyle w:val="MODUATableText"/>
            </w:pPr>
            <w:r>
              <w:rPr>
                <w:b w:val="0"/>
                <w:i w:val="0"/>
              </w:rPr>
              <w:t>별도 연구 절차</w:t>
            </w:r>
          </w:p>
        </w:tc>
        <w:tc>
          <w:tcPr>
            <w:tcW w:type="dxa" w:w="2655"/>
            <w:tcMar>
              <w:top w:w="80" w:type="dxa"/>
              <w:bottom w:w="80" w:type="dxa"/>
              <w:start w:w="120" w:type="dxa"/>
              <w:end w:w="120" w:type="dxa"/>
            </w:tcMar>
            <w:vAlign w:val="center"/>
          </w:tcPr>
          <w:p>
            <w:pPr>
              <w:pStyle w:val="MODUATableText"/>
            </w:pPr>
            <w:r>
              <w:rPr>
                <w:b w:val="0"/>
                <w:i w:val="0"/>
              </w:rPr>
              <w:t>승인된 최소 건강·웨어러블 연구자료</w:t>
            </w:r>
          </w:p>
        </w:tc>
        <w:tc>
          <w:tcPr>
            <w:tcW w:type="dxa" w:w="2767"/>
            <w:tcMar>
              <w:top w:w="80" w:type="dxa"/>
              <w:bottom w:w="80" w:type="dxa"/>
              <w:start w:w="120" w:type="dxa"/>
              <w:end w:w="120" w:type="dxa"/>
            </w:tcMar>
            <w:vAlign w:val="center"/>
          </w:tcPr>
          <w:p>
            <w:pPr>
              <w:pStyle w:val="MODUATableText"/>
            </w:pPr>
            <w:r>
              <w:rPr>
                <w:b w:val="0"/>
                <w:i w:val="0"/>
              </w:rPr>
              <w:t>별도 설명과 동의, 필요한 기관심의 적용</w:t>
            </w:r>
          </w:p>
        </w:tc>
      </w:tr>
    </w:tbl>
    <w:p>
      <w:pPr>
        <w:spacing w:after="40"/>
      </w:pPr>
    </w:p>
    <w:p>
      <w:r>
        <w:rPr>
          <w:b w:val="0"/>
          <w:i w:val="0"/>
        </w:rPr>
        <w:t>연구 참여를 거부하거나 나중에 철회해도 생활지원 서비스와 이미 정한 보상을 줄이지 않는다. 개인화 기억을 끈 선택도 에이전트 개선이나 임상 연구 동의로 바꾸어 해석하지 않는다. 철회하면 새로운 연구·학습 이용을 멈추고, 남아 있는 범위와 삭제 결과를 쉬운 말로 알린다.</w:t>
      </w:r>
    </w:p>
    <w:p>
      <w:r>
        <w:rPr>
          <w:b w:val="0"/>
          <w:i w:val="0"/>
        </w:rPr>
        <w:t>원본 음성·영상·연속 생체신호는 기본적으로 보관하지 않는다. 기능상 잠시 필요하면 기기 안이나 개인 암호화 영역을 우선하고, 연구 영역에는 별도 동의된 가명·최소 자료만 둔다. 건강·대화·병원 데이터는 원본·원시값뿐 아니라 파생 요약, 개인 식별자와 관련 메타데이터까지 블록체인, 토큰·보상 원장, 결제 원장과 정산 원장에 기록하지 않는다. 법률상 또는 운영상 필요한 경우에도 이러한 원장에는 민감한 내용과 연결되지 않는 요청 식별자, 사용자 최종 승인 상태, 처리 상태와 처리 시각처럼 건강정보가 아닌 최소 거래 상태 필드만 두며, 민감한 내용이나 원문을 담지 않는다.</w:t>
      </w:r>
    </w:p>
    <w:p>
      <w:r>
        <w:rPr>
          <w:b w:val="0"/>
          <w:i w:val="0"/>
        </w:rPr>
        <w:t>연구 보상은 데이터를 사는 대가가 아니다. 참여에 든 시간과 확인된 평가 기여를 기준으로 설명하며 건강자료의 양이나 민감도에 비례해 MODUA 포인트를 늘리지 않는다. 동의하지 않은 사람도 기본 생활지원과 도움 요청을 계속 이용할 수 있다.</w:t>
      </w:r>
    </w:p>
    <w:p>
      <w:r>
        <w:rPr>
          <w:b w:val="0"/>
          <w:i w:val="0"/>
        </w:rPr>
        <w:t>권한 없는 요청은 거부하고 접근 시도를 기록한다. 침해가 의심되면 접근을 차단하고 영향 범위를 조사하며, 필요한 법정 통지와 이용자 안내를 한다. 자동화된 추천이 권리나 의무에 큰 영향을 줄 수 있으면 이유 설명, 사람의 재검토, 이의제기 경로를 제공한다.</w:t>
      </w:r>
    </w:p>
    <w:p>
      <w:pPr>
        <w:pStyle w:val="Heading2"/>
      </w:pPr>
      <w:r>
        <w:rPr>
          <w:b w:val="0"/>
          <w:i w:val="0"/>
        </w:rPr>
        <w:t>11. 상호지원 확인과 보상</w:t>
      </w:r>
    </w:p>
    <w:p>
      <w:r>
        <w:rPr>
          <w:b w:val="0"/>
          <w:i w:val="0"/>
        </w:rPr>
        <w:t>MODUA는 도움을 많이 받거나 건강자료를 많이 내는 사람보다, 실제 도움과 접근성 개선 기여가 확인된 사람을 공정하게 인정하려 한다. 초기 보상은 양도 불가능한 MODUA 포인트이며 토큰 없이 작동한다.</w:t>
      </w:r>
    </w:p>
    <w:p>
      <w:r>
        <w:rPr>
          <w:b w:val="0"/>
          <w:i w:val="0"/>
        </w:rPr>
        <w:t xml:space="preserve">일반 도움은 </w:t>
      </w:r>
      <w:r>
        <w:rPr>
          <w:rFonts w:ascii="Noto Sans KR" w:hAnsi="Noto Sans KR" w:eastAsia="Noto Sans KR"/>
          <w:b w:val="0"/>
          <w:i w:val="0"/>
          <w:sz w:val="21"/>
        </w:rPr>
        <w:t>도움을 받은 사람 + 도움을 제공한 사람</w:t>
      </w:r>
      <w:r>
        <w:rPr>
          <w:b w:val="0"/>
          <w:i w:val="0"/>
        </w:rPr>
        <w:t>이 함께 완료를 확인한다. 이동 지원, 문서 이해, 디지털 이용 보조, 접근성 평가와 오류 보고처럼 확인 가능한 활동이 대상이다. 금전이나 민감정보가 관련된 고위험 활동에는 기관 확인 또는 시스템 증빙을 더한다.</w:t>
      </w:r>
    </w:p>
    <w:p>
      <w:r>
        <w:rPr>
          <w:b w:val="0"/>
          <w:i w:val="0"/>
        </w:rPr>
        <w:t>이용자가 직접 확인하기 어려울 때는 사전에 정한 적법한 대리 절차를 쓴다. 한 사람이 도움을 제공하고 완료까지 혼자 확정하지 못하게 역할을 나눈다. 산정 근거와 상태는 큰 글자와 쉬운 말로 보여주고 이의신청 경로를 둔다.</w:t>
      </w:r>
    </w:p>
    <w:p>
      <w:r>
        <w:rPr>
          <w:b w:val="0"/>
          <w:i w:val="0"/>
        </w:rPr>
        <w:t xml:space="preserve">두 사람의 기록이 다르면 포인트를 바로 확정하지 않고 </w:t>
      </w:r>
      <w:r>
        <w:rPr>
          <w:rFonts w:ascii="Noto Sans KR" w:hAnsi="Noto Sans KR" w:eastAsia="Noto Sans KR"/>
          <w:b w:val="0"/>
          <w:i w:val="0"/>
          <w:sz w:val="21"/>
        </w:rPr>
        <w:t>검토 중</w:t>
      </w:r>
      <w:r>
        <w:rPr>
          <w:b w:val="0"/>
          <w:i w:val="0"/>
        </w:rPr>
        <w:t>으로 둔다. 반복·담합·대리 확인이 의심되어도 필수 생활지원은 유지하며, 사람이 최소 기록을 살펴본 뒤 확정·거절·수정을 결정한다. 잘못 확정된 기록은 변경 이유와 함께 바로잡는다.</w:t>
      </w:r>
    </w:p>
    <w:p>
      <w:r>
        <w:rPr>
          <w:b w:val="0"/>
          <w:i w:val="0"/>
        </w:rPr>
        <w:t>연구 참여 거부는 서비스나 보상을 줄이는 사유가 아니다. 원본 건강정보, 음성, 영상의 양과 포인트를 비례시키지 않으며 데이터 판매로 설명하지 않는다. 자원봉사와 고용·유상 노무를 구분하고, 임금이나 용역대가가 될 수 있는 활동은 노무·세무 검토 뒤 별도 계약으로 운영한다.</w:t>
      </w:r>
    </w:p>
    <w:p>
      <w:r>
        <w:rPr>
          <w:b w:val="0"/>
          <w:i w:val="0"/>
        </w:rPr>
        <w:t>양도 불가능한 MODUA 포인트는 다른 사람에게 보내거나 현금·가상자산으로 바꿀 수 없다. 이용자는 도움을 받거나 포인트를 쓰기 위해 토큰을 사거나 보유할 필요가 없다.</w:t>
      </w:r>
    </w:p>
    <w:p>
      <w:pPr>
        <w:pStyle w:val="Heading2"/>
      </w:pPr>
      <w:r>
        <w:rPr>
          <w:b w:val="0"/>
          <w:i w:val="0"/>
        </w:rPr>
        <w:t>12. 원화와 조건부 스테이블코인 결제 — 사용자 최종 승인 원칙</w:t>
      </w:r>
    </w:p>
    <w:p>
      <w:r>
        <w:rPr>
          <w:b w:val="0"/>
          <w:i w:val="0"/>
        </w:rPr>
        <w:t>원화 결제 지원은 사용자 최종 승인을 전제로 한다. MODUA는 기존 카드, 은행계좌, Samsung Wallet 화면을 이해하기 쉽게 설명하고 금액, 받는 사람, 수수료, 일회성·정기 여부, 취소·환불 조건을 다시 보여주는 보조 계층으로 시작한다. AI는 승인 버튼을 대신 누르지 않는다.</w:t>
      </w:r>
    </w:p>
    <w:p>
      <w:r>
        <w:rPr>
          <w:b w:val="0"/>
          <w:i w:val="0"/>
        </w:rPr>
        <w:t>Samsung Wallet의 Galaxy Watch 결제는 등록된 호환 카드를 지원한다. MODUA 설계에서는 사용자 최종 승인을 기존 카드 인증 절차에서 본인이 직접 하게 한다. [C-SAMSUNG-WATCH-CARD-PAYMENT] [S-SAMSUNG-WATCH-PAY]</w:t>
      </w:r>
    </w:p>
    <w:p>
      <w:r>
        <w:rPr>
          <w:b w:val="0"/>
          <w:i w:val="0"/>
        </w:rPr>
        <w:t>워치는 결제 의도와 금액, 받는 사람, 처리상태만 보여주며 사용자 최종 승인은 휴대전화에서 다시 확인한 뒤 이루어진다. 평소와 다른 금액, 새 수취인, 강압 또는 사기 신호가 있으면 휴대전화 재확인 단계로 넘기지 않고 멈춘다. 삼성은 MODUA의 공식 파트너가 아니며 Samsung Wallet이 가상자산 서명·전송을 지원한다고 가정하지 않는다.</w:t>
      </w:r>
    </w:p>
    <w:p>
      <w:r>
        <w:rPr>
          <w:b w:val="0"/>
          <w:i w:val="0"/>
        </w:rPr>
        <w:t>외부 스테이블코인 결제는 신고 사업자 계약·법률검토·보안시험 후에만 실증한다. 이 실증의 각 결제도 사용자 최종 승인을 전제로 한다.</w:t>
      </w:r>
    </w:p>
    <w:p>
      <w:r>
        <w:rPr>
          <w:b w:val="0"/>
          <w:i w:val="0"/>
        </w:rPr>
        <w:t>출시 시점은 약속하지 않는다. 설계상 16–21개월의 조건부 검토 창구로만 두며, 계약·법률·보안 조건 가운데 하나라도 충족하지 못하면 원화 흐름과 양도 불가능한 MODUA 포인트만 유지한다.</w:t>
      </w:r>
    </w:p>
    <w:p>
      <w:r>
        <w:rPr>
          <w:b w:val="0"/>
          <w:i w:val="0"/>
        </w:rPr>
        <w:t>국내 대상 가상자산 매매·교환·중개는 적법한 신고 사업자 경계를 확인해야 한다. [C-FSC-REPORTED-PROVIDER] [S-FSC-VASP-2026]</w:t>
      </w:r>
    </w:p>
    <w:p>
      <w:r>
        <w:rPr>
          <w:b w:val="0"/>
          <w:i w:val="0"/>
        </w:rPr>
        <w:t>MODUA 설계의 조건부 실증에서 국내 업무를 적법하게 수행할 수 있는 금융정보분석원 신고 사업자가 고객확인과 자금세탁방지, 수탁, 전송, 교환, 가맹점 원화정산을 맡는다. MODUA는 쉬운 설명, 의도 전달, 상태 확인, 고객지원 연결만 맡는다. MODUA는 스테이블코인을 발행·수탁·교환하지 않고 이용자 자산, 환전재원, 개인키를 보관하지 않는다. 워치에도 가상자산 개인키를 저장하지 않는다.</w:t>
      </w:r>
    </w:p>
    <w:p>
      <w:r>
        <w:rPr>
          <w:b w:val="0"/>
          <w:i w:val="0"/>
        </w:rPr>
        <w:t xml:space="preserve">각 요청에는 중복 실행을 막는 고유 식별자를 붙인다. 파트너의 응답이 늦거나 끊기면 </w:t>
      </w:r>
      <w:r>
        <w:rPr>
          <w:rFonts w:ascii="Noto Sans KR" w:hAnsi="Noto Sans KR" w:eastAsia="Noto Sans KR"/>
          <w:b w:val="0"/>
          <w:i w:val="0"/>
          <w:sz w:val="21"/>
        </w:rPr>
        <w:t>완료</w:t>
      </w:r>
      <w:r>
        <w:rPr>
          <w:b w:val="0"/>
          <w:i w:val="0"/>
        </w:rPr>
        <w:t xml:space="preserve">로 추정하지 않고 </w:t>
      </w:r>
      <w:r>
        <w:rPr>
          <w:rFonts w:ascii="Noto Sans KR" w:hAnsi="Noto Sans KR" w:eastAsia="Noto Sans KR"/>
          <w:b w:val="0"/>
          <w:i w:val="0"/>
          <w:sz w:val="21"/>
        </w:rPr>
        <w:t>확인 중</w:t>
      </w:r>
      <w:r>
        <w:rPr>
          <w:b w:val="0"/>
          <w:i w:val="0"/>
        </w:rPr>
        <w:t>으로 두며 자동으로 다시 실행하지 않는다. 사용자는 원 사업자의 결과가 확인될 때까지 같은 요청을 새로 승인하지 않도록 안내받는다.</w:t>
      </w:r>
    </w:p>
    <w:p>
      <w:r>
        <w:rPr>
          <w:b w:val="0"/>
          <w:i w:val="0"/>
        </w:rPr>
        <w:t>실패 상태는 다음처럼 다룬다.</w:t>
      </w:r>
    </w:p>
    <w:p>
      <w:pPr>
        <w:pStyle w:val="MODUABullet"/>
        <w:numPr>
          <w:ilvl w:val="0"/>
          <w:numId w:val="26"/>
        </w:numPr>
      </w:pPr>
      <w:r>
        <w:rPr>
          <w:b/>
          <w:i w:val="0"/>
        </w:rPr>
        <w:t>금액·받는 사람 불일치</w:t>
      </w:r>
      <w:r>
        <w:rPr>
          <w:b w:val="0"/>
          <w:i w:val="0"/>
        </w:rPr>
        <w:t>: 사용자 최종 승인 절차를 중단하고 원본 화면과 입력값을 다시 보여준다.</w:t>
      </w:r>
    </w:p>
    <w:p>
      <w:pPr>
        <w:pStyle w:val="MODUABullet"/>
        <w:numPr>
          <w:ilvl w:val="0"/>
          <w:numId w:val="26"/>
        </w:numPr>
      </w:pPr>
      <w:r>
        <w:rPr>
          <w:b/>
          <w:i w:val="0"/>
        </w:rPr>
        <w:t>응답 지연</w:t>
      </w:r>
      <w:r>
        <w:rPr>
          <w:b w:val="0"/>
          <w:i w:val="0"/>
        </w:rPr>
        <w:t xml:space="preserve">: </w:t>
      </w:r>
      <w:r>
        <w:rPr>
          <w:rFonts w:ascii="Noto Sans KR" w:hAnsi="Noto Sans KR" w:eastAsia="Noto Sans KR"/>
          <w:b w:val="0"/>
          <w:i w:val="0"/>
          <w:sz w:val="21"/>
        </w:rPr>
        <w:t>확인 중</w:t>
      </w:r>
      <w:r>
        <w:rPr>
          <w:b w:val="0"/>
          <w:i w:val="0"/>
        </w:rPr>
        <w:t>을 유지하고 자동 재시도하지 않는다. 운영자가 원 사업자의 상태를 확인한다.</w:t>
      </w:r>
    </w:p>
    <w:p>
      <w:pPr>
        <w:pStyle w:val="MODUABullet"/>
        <w:numPr>
          <w:ilvl w:val="0"/>
          <w:numId w:val="26"/>
        </w:numPr>
      </w:pPr>
      <w:r>
        <w:rPr>
          <w:b/>
          <w:i w:val="0"/>
        </w:rPr>
        <w:t>사기·강압 의심</w:t>
      </w:r>
      <w:r>
        <w:rPr>
          <w:b w:val="0"/>
          <w:i w:val="0"/>
        </w:rPr>
        <w:t>: 사용자 최종 승인 절차를 보류하고 경고와 선택된 신뢰 연락처·기관 연결을 제공한다.</w:t>
      </w:r>
    </w:p>
    <w:p>
      <w:pPr>
        <w:pStyle w:val="MODUABullet"/>
        <w:numPr>
          <w:ilvl w:val="0"/>
          <w:numId w:val="26"/>
        </w:numPr>
      </w:pPr>
      <w:r>
        <w:rPr>
          <w:b/>
          <w:i w:val="0"/>
        </w:rPr>
        <w:t>자산·네트워크·수수료 변경</w:t>
      </w:r>
      <w:r>
        <w:rPr>
          <w:b w:val="0"/>
          <w:i w:val="0"/>
        </w:rPr>
        <w:t>: 진행을 멈추고 최신 원화 환산액과 수수료를 설명한 뒤 사용자가 다시 최종 승인하게 한다.</w:t>
      </w:r>
    </w:p>
    <w:p>
      <w:pPr>
        <w:pStyle w:val="MODUABullet"/>
        <w:numPr>
          <w:ilvl w:val="0"/>
          <w:numId w:val="26"/>
        </w:numPr>
      </w:pPr>
      <w:r>
        <w:rPr>
          <w:b/>
          <w:i w:val="0"/>
        </w:rPr>
        <w:t>취소·환불</w:t>
      </w:r>
      <w:r>
        <w:rPr>
          <w:b w:val="0"/>
          <w:i w:val="0"/>
        </w:rPr>
        <w:t>: 원 사업자의 취소·환불 상태와 금액을 그대로 보여주며 MODUA가 먼저 완료로 만들거나 임의로 잔액을 보정하지 않는다.</w:t>
      </w:r>
    </w:p>
    <w:p>
      <w:r>
        <w:rPr>
          <w:b w:val="0"/>
          <w:i w:val="0"/>
        </w:rPr>
        <w:t xml:space="preserve">사용자 최종 승인 뒤에도 결과가 </w:t>
      </w:r>
      <w:r>
        <w:rPr>
          <w:rFonts w:ascii="Noto Sans KR" w:hAnsi="Noto Sans KR" w:eastAsia="Noto Sans KR"/>
          <w:b w:val="0"/>
          <w:i w:val="0"/>
          <w:sz w:val="21"/>
        </w:rPr>
        <w:t>확인 중</w:t>
      </w:r>
      <w:r>
        <w:rPr>
          <w:b w:val="0"/>
          <w:i w:val="0"/>
        </w:rPr>
        <w:t>이면 별도의 새 결제로 간주하지 않는다. 취소나 환불 가능 여부, 예상 처리시간과 문의처를 쉬운 말로 알리고, 최종 상태가 확인되면 최소 영수증 상태만 기록한다.</w:t>
      </w:r>
    </w:p>
    <w:p>
      <w:pPr>
        <w:pStyle w:val="Heading2"/>
      </w:pPr>
      <w:r>
        <w:rPr>
          <w:b w:val="0"/>
          <w:i w:val="0"/>
        </w:rPr>
        <w:t>13. MODUA Points와 조건부 토큰 경제</w:t>
      </w:r>
    </w:p>
    <w:p>
      <w:r>
        <w:rPr>
          <w:b w:val="0"/>
          <w:i w:val="0"/>
        </w:rPr>
        <w:t>MODUA의 경제 구조는 서비스를 쓰기 위한 토큰 판매가 아니라, 생활지원과 상호지원 기여를 확인하는 것에서 시작한다. 양도 불가능한 MODUA 포인트는 중앙 기록형 서비스 포인트이며 다른 사람에게 보내거나 현금·가상자산으로 바꿀 수 없다. 생활지원 서비스와 포인트는 어떤 토큰도 없이 작동해야 하며, 이용자는 서비스를 이용하거나 도움을 확인받기 위해 토큰을 사거나 보유할 필요가 없다.</w:t>
      </w:r>
    </w:p>
    <w:p>
      <w:r>
        <w:rPr>
          <w:b w:val="0"/>
          <w:i w:val="0"/>
        </w:rPr>
        <w:t>토큰 전환은 확정된 계획이 아니다. 다음 네 조건을 모두 충족한 뒤에도 발행 여부를 별도로 결정한다.</w:t>
      </w:r>
    </w:p>
    <w:p>
      <w:pPr>
        <w:pStyle w:val="MODUANumber"/>
        <w:numPr>
          <w:ilvl w:val="0"/>
          <w:numId w:val="27"/>
        </w:numPr>
      </w:pPr>
      <w:r>
        <w:rPr>
          <w:b/>
          <w:i w:val="0"/>
        </w:rPr>
        <w:t>법률·세무·회계 검토</w:t>
      </w:r>
      <w:r>
        <w:rPr>
          <w:b w:val="0"/>
          <w:i w:val="0"/>
        </w:rPr>
        <w:t>: 토큰의 법적 분류, 세무·회계 처리와 이용자 보호 책임을 독립적으로 검토한다.</w:t>
      </w:r>
    </w:p>
    <w:p>
      <w:pPr>
        <w:pStyle w:val="MODUANumber"/>
        <w:numPr>
          <w:ilvl w:val="0"/>
          <w:numId w:val="27"/>
        </w:numPr>
      </w:pPr>
      <w:r>
        <w:rPr>
          <w:b/>
          <w:i w:val="0"/>
        </w:rPr>
        <w:t>실제 서비스 수요</w:t>
      </w:r>
      <w:r>
        <w:rPr>
          <w:b w:val="0"/>
          <w:i w:val="0"/>
        </w:rPr>
        <w:t>: 토큰 없이 서비스와 포인트를 운영해 실제 이용자·기관 수요와 지속 가능한 계약·후원 재원을 확인한다.</w:t>
      </w:r>
    </w:p>
    <w:p>
      <w:pPr>
        <w:pStyle w:val="MODUANumber"/>
        <w:numPr>
          <w:ilvl w:val="0"/>
          <w:numId w:val="27"/>
        </w:numPr>
      </w:pPr>
      <w:r>
        <w:rPr>
          <w:b/>
          <w:i w:val="0"/>
        </w:rPr>
        <w:t>보안감사</w:t>
      </w:r>
      <w:r>
        <w:rPr>
          <w:b w:val="0"/>
          <w:i w:val="0"/>
        </w:rPr>
        <w:t>: 토큰을 구현한다면 스마트계약(정해진 조건이 충족되면 약속된 동작을 자동 실행하는 프로그램) 독립 보안감사를 완료하고 중대한 취약점을 해결한다.</w:t>
      </w:r>
    </w:p>
    <w:p>
      <w:pPr>
        <w:pStyle w:val="MODUANumber"/>
        <w:numPr>
          <w:ilvl w:val="0"/>
          <w:numId w:val="27"/>
        </w:numPr>
      </w:pPr>
      <w:r>
        <w:rPr>
          <w:b/>
          <w:i w:val="0"/>
        </w:rPr>
        <w:t>이용자 보호체계</w:t>
      </w:r>
      <w:r>
        <w:rPr>
          <w:b w:val="0"/>
          <w:i w:val="0"/>
        </w:rPr>
        <w:t>: 쉬운 설명, 분쟁·사고 대응, 권리 침해 방지와 이용자 대표 검토 절차를 갖춘다.</w:t>
      </w:r>
    </w:p>
    <w:p>
      <w:r>
        <w:rPr>
          <w:b w:val="0"/>
          <w:i w:val="0"/>
        </w:rPr>
        <w:t>한 조건이라도 충족하지 못하면 토큰을 발행하지 않는다. 24개월 로드맵을 마쳤다는 사실만으로 발행하지 않으며, 토큰 티커·체인·발행일·판매·거래소 상장도 정하지 않는다. 토큰을 발행하지 않는 경우에도 생활지원 서비스와 양도 불가능한 MODUA 포인트를 계속 운영할 수 있어야 한다.</w:t>
      </w:r>
    </w:p>
    <w:p>
      <w:r>
        <w:rPr>
          <w:b w:val="0"/>
          <w:i w:val="0"/>
        </w:rPr>
        <w:t>조건부 MODUA 토큰의 최대 공급은 100억 개이며 추가 발행하지 않는다. [C-MODUA-TOKEN-CONDITIONAL]</w:t>
      </w:r>
    </w:p>
    <w:p>
      <w:r>
        <w:rPr>
          <w:b w:val="0"/>
          <w:i w:val="0"/>
        </w:rPr>
        <w:t>이 최대 공급량은 발행 약속이 아니라, 위 조건을 모두 통과해 발행을 별도로 승인하는 경우에만 적용할 회계 상한이다. 100억 개라는 수는 미세한 기여 기록과 장기 참여자 수를 표현하기 위한 회계 단위일 뿐이다. 낮은 가격, 원화 또는 다른 자산과의 연동, 상환·환매, 수익률, 상장, 가격 상승이나 가치 보장을 뜻하지 않는다.</w:t>
      </w:r>
    </w:p>
    <w:tbl>
      <w:tblPr>
        <w:tblStyle w:val="TableGrid"/>
        <w:tblW w:type="dxa" w:w="9745"/>
        <w:jc w:val="left"/>
        <w:tblLayout w:type="fixed"/>
        <w:tblLook w:firstColumn="1" w:firstRow="1" w:lastColumn="0" w:lastRow="0" w:noHBand="0" w:noVBand="1" w:val="04A0"/>
        <w:tblInd w:w="120" w:type="dxa"/>
        <w:tblBorders>
          <w:top w:val="single" w:sz="6" w:color="AAB3BD"/>
          <w:left w:val="single" w:sz="6" w:color="AAB3BD"/>
          <w:bottom w:val="single" w:sz="6" w:color="AAB3BD"/>
          <w:right w:val="single" w:sz="6" w:color="AAB3BD"/>
          <w:insideH w:val="single" w:sz="6" w:color="AAB3BD"/>
          <w:insideV w:val="single" w:sz="6" w:color="AAB3BD"/>
        </w:tblBorders>
      </w:tblPr>
      <w:tblGrid>
        <w:gridCol w:w="4423"/>
        <w:gridCol w:w="2440"/>
        <w:gridCol w:w="2882"/>
      </w:tblGrid>
      <w:tr>
        <w:trPr>
          <w:tblHeader w:val="true"/>
        </w:trPr>
        <w:tc>
          <w:tcPr>
            <w:tcW w:type="dxa" w:w="4423"/>
            <w:shd w:fill="F4F6F9"/>
            <w:tcMar>
              <w:top w:w="80" w:type="dxa"/>
              <w:bottom w:w="80" w:type="dxa"/>
              <w:start w:w="120" w:type="dxa"/>
              <w:end w:w="120" w:type="dxa"/>
            </w:tcMar>
            <w:vAlign w:val="center"/>
          </w:tcPr>
          <w:p>
            <w:pPr>
              <w:pStyle w:val="MODUATableText"/>
            </w:pPr>
            <w:r>
              <w:rPr>
                <w:b/>
                <w:i w:val="0"/>
              </w:rPr>
              <w:t>배분</w:t>
            </w:r>
          </w:p>
        </w:tc>
        <w:tc>
          <w:tcPr>
            <w:tcW w:type="dxa" w:w="2440"/>
            <w:shd w:fill="F4F6F9"/>
            <w:tcMar>
              <w:top w:w="80" w:type="dxa"/>
              <w:bottom w:w="80" w:type="dxa"/>
              <w:start w:w="120" w:type="dxa"/>
              <w:end w:w="120" w:type="dxa"/>
            </w:tcMar>
            <w:vAlign w:val="center"/>
          </w:tcPr>
          <w:p>
            <w:pPr>
              <w:pStyle w:val="MODUATableText"/>
            </w:pPr>
            <w:r>
              <w:rPr>
                <w:b/>
                <w:i w:val="0"/>
              </w:rPr>
              <w:t>비율</w:t>
            </w:r>
          </w:p>
        </w:tc>
        <w:tc>
          <w:tcPr>
            <w:tcW w:type="dxa" w:w="2882"/>
            <w:shd w:fill="F4F6F9"/>
            <w:tcMar>
              <w:top w:w="80" w:type="dxa"/>
              <w:bottom w:w="80" w:type="dxa"/>
              <w:start w:w="120" w:type="dxa"/>
              <w:end w:w="120" w:type="dxa"/>
            </w:tcMar>
            <w:vAlign w:val="center"/>
          </w:tcPr>
          <w:p>
            <w:pPr>
              <w:pStyle w:val="MODUATableText"/>
            </w:pPr>
            <w:r>
              <w:rPr>
                <w:b/>
                <w:i w:val="0"/>
              </w:rPr>
              <w:t>수량</w:t>
            </w:r>
          </w:p>
        </w:tc>
      </w:tr>
      <w:tr>
        <w:tc>
          <w:tcPr>
            <w:tcW w:type="dxa" w:w="4423"/>
            <w:tcMar>
              <w:top w:w="80" w:type="dxa"/>
              <w:bottom w:w="80" w:type="dxa"/>
              <w:start w:w="120" w:type="dxa"/>
              <w:end w:w="120" w:type="dxa"/>
            </w:tcMar>
            <w:vAlign w:val="center"/>
          </w:tcPr>
          <w:p>
            <w:pPr>
              <w:pStyle w:val="MODUATableText"/>
            </w:pPr>
            <w:r>
              <w:rPr>
                <w:b w:val="0"/>
                <w:i w:val="0"/>
              </w:rPr>
              <w:t>이용자·자원봉사자 보상</w:t>
            </w:r>
          </w:p>
        </w:tc>
        <w:tc>
          <w:tcPr>
            <w:tcW w:type="dxa" w:w="2440"/>
            <w:tcMar>
              <w:top w:w="80" w:type="dxa"/>
              <w:bottom w:w="80" w:type="dxa"/>
              <w:start w:w="120" w:type="dxa"/>
              <w:end w:w="120" w:type="dxa"/>
            </w:tcMar>
            <w:vAlign w:val="center"/>
          </w:tcPr>
          <w:p>
            <w:pPr>
              <w:pStyle w:val="MODUATableText"/>
            </w:pPr>
            <w:r>
              <w:rPr>
                <w:b w:val="0"/>
                <w:i w:val="0"/>
              </w:rPr>
              <w:t>40%</w:t>
            </w:r>
          </w:p>
        </w:tc>
        <w:tc>
          <w:tcPr>
            <w:tcW w:type="dxa" w:w="2882"/>
            <w:tcMar>
              <w:top w:w="80" w:type="dxa"/>
              <w:bottom w:w="80" w:type="dxa"/>
              <w:start w:w="120" w:type="dxa"/>
              <w:end w:w="120" w:type="dxa"/>
            </w:tcMar>
            <w:vAlign w:val="center"/>
          </w:tcPr>
          <w:p>
            <w:pPr>
              <w:pStyle w:val="MODUATableText"/>
            </w:pPr>
            <w:r>
              <w:rPr>
                <w:b w:val="0"/>
                <w:i w:val="0"/>
              </w:rPr>
              <w:t>40억 개</w:t>
            </w:r>
          </w:p>
        </w:tc>
      </w:tr>
      <w:tr>
        <w:tc>
          <w:tcPr>
            <w:tcW w:type="dxa" w:w="4423"/>
            <w:tcMar>
              <w:top w:w="80" w:type="dxa"/>
              <w:bottom w:w="80" w:type="dxa"/>
              <w:start w:w="120" w:type="dxa"/>
              <w:end w:w="120" w:type="dxa"/>
            </w:tcMar>
            <w:vAlign w:val="center"/>
          </w:tcPr>
          <w:p>
            <w:pPr>
              <w:pStyle w:val="MODUATableText"/>
            </w:pPr>
            <w:r>
              <w:rPr>
                <w:b w:val="0"/>
                <w:i w:val="0"/>
              </w:rPr>
              <w:t>접근성·선택 데이터 기여</w:t>
            </w:r>
          </w:p>
        </w:tc>
        <w:tc>
          <w:tcPr>
            <w:tcW w:type="dxa" w:w="2440"/>
            <w:tcMar>
              <w:top w:w="80" w:type="dxa"/>
              <w:bottom w:w="80" w:type="dxa"/>
              <w:start w:w="120" w:type="dxa"/>
              <w:end w:w="120" w:type="dxa"/>
            </w:tcMar>
            <w:vAlign w:val="center"/>
          </w:tcPr>
          <w:p>
            <w:pPr>
              <w:pStyle w:val="MODUATableText"/>
            </w:pPr>
            <w:r>
              <w:rPr>
                <w:b w:val="0"/>
                <w:i w:val="0"/>
              </w:rPr>
              <w:t>10%</w:t>
            </w:r>
          </w:p>
        </w:tc>
        <w:tc>
          <w:tcPr>
            <w:tcW w:type="dxa" w:w="2882"/>
            <w:tcMar>
              <w:top w:w="80" w:type="dxa"/>
              <w:bottom w:w="80" w:type="dxa"/>
              <w:start w:w="120" w:type="dxa"/>
              <w:end w:w="120" w:type="dxa"/>
            </w:tcMar>
            <w:vAlign w:val="center"/>
          </w:tcPr>
          <w:p>
            <w:pPr>
              <w:pStyle w:val="MODUATableText"/>
            </w:pPr>
            <w:r>
              <w:rPr>
                <w:b w:val="0"/>
                <w:i w:val="0"/>
              </w:rPr>
              <w:t>10억 개</w:t>
            </w:r>
          </w:p>
        </w:tc>
      </w:tr>
      <w:tr>
        <w:tc>
          <w:tcPr>
            <w:tcW w:type="dxa" w:w="4423"/>
            <w:tcMar>
              <w:top w:w="80" w:type="dxa"/>
              <w:bottom w:w="80" w:type="dxa"/>
              <w:start w:w="120" w:type="dxa"/>
              <w:end w:w="120" w:type="dxa"/>
            </w:tcMar>
            <w:vAlign w:val="center"/>
          </w:tcPr>
          <w:p>
            <w:pPr>
              <w:pStyle w:val="MODUATableText"/>
            </w:pPr>
            <w:r>
              <w:rPr>
                <w:b w:val="0"/>
                <w:i w:val="0"/>
              </w:rPr>
              <w:t>복지기관·지역 생태계</w:t>
            </w:r>
          </w:p>
        </w:tc>
        <w:tc>
          <w:tcPr>
            <w:tcW w:type="dxa" w:w="2440"/>
            <w:tcMar>
              <w:top w:w="80" w:type="dxa"/>
              <w:bottom w:w="80" w:type="dxa"/>
              <w:start w:w="120" w:type="dxa"/>
              <w:end w:w="120" w:type="dxa"/>
            </w:tcMar>
            <w:vAlign w:val="center"/>
          </w:tcPr>
          <w:p>
            <w:pPr>
              <w:pStyle w:val="MODUATableText"/>
            </w:pPr>
            <w:r>
              <w:rPr>
                <w:b w:val="0"/>
                <w:i w:val="0"/>
              </w:rPr>
              <w:t>15%</w:t>
            </w:r>
          </w:p>
        </w:tc>
        <w:tc>
          <w:tcPr>
            <w:tcW w:type="dxa" w:w="2882"/>
            <w:tcMar>
              <w:top w:w="80" w:type="dxa"/>
              <w:bottom w:w="80" w:type="dxa"/>
              <w:start w:w="120" w:type="dxa"/>
              <w:end w:w="120" w:type="dxa"/>
            </w:tcMar>
            <w:vAlign w:val="center"/>
          </w:tcPr>
          <w:p>
            <w:pPr>
              <w:pStyle w:val="MODUATableText"/>
            </w:pPr>
            <w:r>
              <w:rPr>
                <w:b w:val="0"/>
                <w:i w:val="0"/>
              </w:rPr>
              <w:t>15억 개</w:t>
            </w:r>
          </w:p>
        </w:tc>
      </w:tr>
      <w:tr>
        <w:tc>
          <w:tcPr>
            <w:tcW w:type="dxa" w:w="4423"/>
            <w:tcMar>
              <w:top w:w="80" w:type="dxa"/>
              <w:bottom w:w="80" w:type="dxa"/>
              <w:start w:w="120" w:type="dxa"/>
              <w:end w:w="120" w:type="dxa"/>
            </w:tcMar>
            <w:vAlign w:val="center"/>
          </w:tcPr>
          <w:p>
            <w:pPr>
              <w:pStyle w:val="MODUATableText"/>
            </w:pPr>
            <w:r>
              <w:rPr>
                <w:b w:val="0"/>
                <w:i w:val="0"/>
              </w:rPr>
              <w:t>재단·운영 준비금</w:t>
            </w:r>
          </w:p>
        </w:tc>
        <w:tc>
          <w:tcPr>
            <w:tcW w:type="dxa" w:w="2440"/>
            <w:tcMar>
              <w:top w:w="80" w:type="dxa"/>
              <w:bottom w:w="80" w:type="dxa"/>
              <w:start w:w="120" w:type="dxa"/>
              <w:end w:w="120" w:type="dxa"/>
            </w:tcMar>
            <w:vAlign w:val="center"/>
          </w:tcPr>
          <w:p>
            <w:pPr>
              <w:pStyle w:val="MODUATableText"/>
            </w:pPr>
            <w:r>
              <w:rPr>
                <w:b w:val="0"/>
                <w:i w:val="0"/>
              </w:rPr>
              <w:t>15%</w:t>
            </w:r>
          </w:p>
        </w:tc>
        <w:tc>
          <w:tcPr>
            <w:tcW w:type="dxa" w:w="2882"/>
            <w:tcMar>
              <w:top w:w="80" w:type="dxa"/>
              <w:bottom w:w="80" w:type="dxa"/>
              <w:start w:w="120" w:type="dxa"/>
              <w:end w:w="120" w:type="dxa"/>
            </w:tcMar>
            <w:vAlign w:val="center"/>
          </w:tcPr>
          <w:p>
            <w:pPr>
              <w:pStyle w:val="MODUATableText"/>
            </w:pPr>
            <w:r>
              <w:rPr>
                <w:b w:val="0"/>
                <w:i w:val="0"/>
              </w:rPr>
              <w:t>15억 개</w:t>
            </w:r>
          </w:p>
        </w:tc>
      </w:tr>
      <w:tr>
        <w:tc>
          <w:tcPr>
            <w:tcW w:type="dxa" w:w="4423"/>
            <w:tcMar>
              <w:top w:w="80" w:type="dxa"/>
              <w:bottom w:w="80" w:type="dxa"/>
              <w:start w:w="120" w:type="dxa"/>
              <w:end w:w="120" w:type="dxa"/>
            </w:tcMar>
            <w:vAlign w:val="center"/>
          </w:tcPr>
          <w:p>
            <w:pPr>
              <w:pStyle w:val="MODUATableText"/>
            </w:pPr>
            <w:r>
              <w:rPr>
                <w:b w:val="0"/>
                <w:i w:val="0"/>
              </w:rPr>
              <w:t>팀·자문</w:t>
            </w:r>
          </w:p>
        </w:tc>
        <w:tc>
          <w:tcPr>
            <w:tcW w:type="dxa" w:w="2440"/>
            <w:tcMar>
              <w:top w:w="80" w:type="dxa"/>
              <w:bottom w:w="80" w:type="dxa"/>
              <w:start w:w="120" w:type="dxa"/>
              <w:end w:w="120" w:type="dxa"/>
            </w:tcMar>
            <w:vAlign w:val="center"/>
          </w:tcPr>
          <w:p>
            <w:pPr>
              <w:pStyle w:val="MODUATableText"/>
            </w:pPr>
            <w:r>
              <w:rPr>
                <w:b w:val="0"/>
                <w:i w:val="0"/>
              </w:rPr>
              <w:t>8%</w:t>
            </w:r>
          </w:p>
        </w:tc>
        <w:tc>
          <w:tcPr>
            <w:tcW w:type="dxa" w:w="2882"/>
            <w:tcMar>
              <w:top w:w="80" w:type="dxa"/>
              <w:bottom w:w="80" w:type="dxa"/>
              <w:start w:w="120" w:type="dxa"/>
              <w:end w:w="120" w:type="dxa"/>
            </w:tcMar>
            <w:vAlign w:val="center"/>
          </w:tcPr>
          <w:p>
            <w:pPr>
              <w:pStyle w:val="MODUATableText"/>
            </w:pPr>
            <w:r>
              <w:rPr>
                <w:b w:val="0"/>
                <w:i w:val="0"/>
              </w:rPr>
              <w:t>8억 개</w:t>
            </w:r>
          </w:p>
        </w:tc>
      </w:tr>
      <w:tr>
        <w:tc>
          <w:tcPr>
            <w:tcW w:type="dxa" w:w="4423"/>
            <w:tcMar>
              <w:top w:w="80" w:type="dxa"/>
              <w:bottom w:w="80" w:type="dxa"/>
              <w:start w:w="120" w:type="dxa"/>
              <w:end w:w="120" w:type="dxa"/>
            </w:tcMar>
            <w:vAlign w:val="center"/>
          </w:tcPr>
          <w:p>
            <w:pPr>
              <w:pStyle w:val="MODUATableText"/>
            </w:pPr>
            <w:r>
              <w:rPr>
                <w:b w:val="0"/>
                <w:i w:val="0"/>
              </w:rPr>
              <w:t>사업개발·투자</w:t>
            </w:r>
          </w:p>
        </w:tc>
        <w:tc>
          <w:tcPr>
            <w:tcW w:type="dxa" w:w="2440"/>
            <w:tcMar>
              <w:top w:w="80" w:type="dxa"/>
              <w:bottom w:w="80" w:type="dxa"/>
              <w:start w:w="120" w:type="dxa"/>
              <w:end w:w="120" w:type="dxa"/>
            </w:tcMar>
            <w:vAlign w:val="center"/>
          </w:tcPr>
          <w:p>
            <w:pPr>
              <w:pStyle w:val="MODUATableText"/>
            </w:pPr>
            <w:r>
              <w:rPr>
                <w:b w:val="0"/>
                <w:i w:val="0"/>
              </w:rPr>
              <w:t>7%</w:t>
            </w:r>
          </w:p>
        </w:tc>
        <w:tc>
          <w:tcPr>
            <w:tcW w:type="dxa" w:w="2882"/>
            <w:tcMar>
              <w:top w:w="80" w:type="dxa"/>
              <w:bottom w:w="80" w:type="dxa"/>
              <w:start w:w="120" w:type="dxa"/>
              <w:end w:w="120" w:type="dxa"/>
            </w:tcMar>
            <w:vAlign w:val="center"/>
          </w:tcPr>
          <w:p>
            <w:pPr>
              <w:pStyle w:val="MODUATableText"/>
            </w:pPr>
            <w:r>
              <w:rPr>
                <w:b w:val="0"/>
                <w:i w:val="0"/>
              </w:rPr>
              <w:t>7억 개</w:t>
            </w:r>
          </w:p>
        </w:tc>
      </w:tr>
      <w:tr>
        <w:tc>
          <w:tcPr>
            <w:tcW w:type="dxa" w:w="4423"/>
            <w:tcMar>
              <w:top w:w="80" w:type="dxa"/>
              <w:bottom w:w="80" w:type="dxa"/>
              <w:start w:w="120" w:type="dxa"/>
              <w:end w:w="120" w:type="dxa"/>
            </w:tcMar>
            <w:vAlign w:val="center"/>
          </w:tcPr>
          <w:p>
            <w:pPr>
              <w:pStyle w:val="MODUATableText"/>
            </w:pPr>
            <w:r>
              <w:rPr>
                <w:b w:val="0"/>
                <w:i w:val="0"/>
              </w:rPr>
              <w:t>유동성</w:t>
            </w:r>
          </w:p>
        </w:tc>
        <w:tc>
          <w:tcPr>
            <w:tcW w:type="dxa" w:w="2440"/>
            <w:tcMar>
              <w:top w:w="80" w:type="dxa"/>
              <w:bottom w:w="80" w:type="dxa"/>
              <w:start w:w="120" w:type="dxa"/>
              <w:end w:w="120" w:type="dxa"/>
            </w:tcMar>
            <w:vAlign w:val="center"/>
          </w:tcPr>
          <w:p>
            <w:pPr>
              <w:pStyle w:val="MODUATableText"/>
            </w:pPr>
            <w:r>
              <w:rPr>
                <w:b w:val="0"/>
                <w:i w:val="0"/>
              </w:rPr>
              <w:t>5%</w:t>
            </w:r>
          </w:p>
        </w:tc>
        <w:tc>
          <w:tcPr>
            <w:tcW w:type="dxa" w:w="2882"/>
            <w:tcMar>
              <w:top w:w="80" w:type="dxa"/>
              <w:bottom w:w="80" w:type="dxa"/>
              <w:start w:w="120" w:type="dxa"/>
              <w:end w:w="120" w:type="dxa"/>
            </w:tcMar>
            <w:vAlign w:val="center"/>
          </w:tcPr>
          <w:p>
            <w:pPr>
              <w:pStyle w:val="MODUATableText"/>
            </w:pPr>
            <w:r>
              <w:rPr>
                <w:b w:val="0"/>
                <w:i w:val="0"/>
              </w:rPr>
              <w:t>5억 개</w:t>
            </w:r>
          </w:p>
        </w:tc>
      </w:tr>
      <w:tr>
        <w:tc>
          <w:tcPr>
            <w:tcW w:type="dxa" w:w="4423"/>
            <w:tcMar>
              <w:top w:w="80" w:type="dxa"/>
              <w:bottom w:w="80" w:type="dxa"/>
              <w:start w:w="120" w:type="dxa"/>
              <w:end w:w="120" w:type="dxa"/>
            </w:tcMar>
            <w:vAlign w:val="center"/>
          </w:tcPr>
          <w:p>
            <w:pPr>
              <w:pStyle w:val="MODUATableText"/>
            </w:pPr>
            <w:r>
              <w:rPr>
                <w:b/>
                <w:i w:val="0"/>
              </w:rPr>
              <w:t>합계</w:t>
            </w:r>
          </w:p>
        </w:tc>
        <w:tc>
          <w:tcPr>
            <w:tcW w:type="dxa" w:w="2440"/>
            <w:tcMar>
              <w:top w:w="80" w:type="dxa"/>
              <w:bottom w:w="80" w:type="dxa"/>
              <w:start w:w="120" w:type="dxa"/>
              <w:end w:w="120" w:type="dxa"/>
            </w:tcMar>
            <w:vAlign w:val="center"/>
          </w:tcPr>
          <w:p>
            <w:pPr>
              <w:pStyle w:val="MODUATableText"/>
            </w:pPr>
            <w:r>
              <w:rPr>
                <w:b/>
                <w:i w:val="0"/>
              </w:rPr>
              <w:t>100%</w:t>
            </w:r>
          </w:p>
        </w:tc>
        <w:tc>
          <w:tcPr>
            <w:tcW w:type="dxa" w:w="2882"/>
            <w:tcMar>
              <w:top w:w="80" w:type="dxa"/>
              <w:bottom w:w="80" w:type="dxa"/>
              <w:start w:w="120" w:type="dxa"/>
              <w:end w:w="120" w:type="dxa"/>
            </w:tcMar>
            <w:vAlign w:val="center"/>
          </w:tcPr>
          <w:p>
            <w:pPr>
              <w:pStyle w:val="MODUATableText"/>
            </w:pPr>
            <w:r>
              <w:rPr>
                <w:b/>
                <w:i w:val="0"/>
              </w:rPr>
              <w:t>100억 개</w:t>
            </w:r>
          </w:p>
        </w:tc>
      </w:tr>
    </w:tbl>
    <w:p>
      <w:pPr>
        <w:spacing w:after="40"/>
      </w:pPr>
    </w:p>
    <w:p>
      <w:r>
        <w:rPr>
          <w:b w:val="0"/>
          <w:i w:val="0"/>
        </w:rPr>
        <w:t xml:space="preserve">여기서 </w:t>
      </w:r>
      <w:r>
        <w:rPr>
          <w:b/>
          <w:i w:val="0"/>
        </w:rPr>
        <w:t>유동성</w:t>
      </w:r>
      <w:r>
        <w:rPr>
          <w:b w:val="0"/>
          <w:i w:val="0"/>
        </w:rPr>
        <w:t xml:space="preserve">은 법적으로 거래가 허용되는 경우 매수·매도가 원활하도록 둘 수 있는 물량을 뜻하며, 이 배분은 거래소 상장이나 시장 개설 약속이 아니다. </w:t>
      </w:r>
      <w:r>
        <w:rPr>
          <w:b/>
          <w:i w:val="0"/>
        </w:rPr>
        <w:t>락업</w:t>
      </w:r>
      <w:r>
        <w:rPr>
          <w:b w:val="0"/>
          <w:i w:val="0"/>
        </w:rPr>
        <w:t xml:space="preserve">은 정해진 기간 동안 물량을 이전하거나 팔 수 없게 묶어 두는 것이다. </w:t>
      </w:r>
      <w:r>
        <w:rPr>
          <w:b/>
          <w:i w:val="0"/>
        </w:rPr>
        <w:t>선형 베스팅</w:t>
      </w:r>
      <w:r>
        <w:rPr>
          <w:b w:val="0"/>
          <w:i w:val="0"/>
        </w:rPr>
        <w:t xml:space="preserve">은 락업 뒤 정해진 기간에 걸쳐 물량을 같은 비율로 조금씩 사용할 수 있게 푸는 방식이다. </w:t>
      </w:r>
      <w:r>
        <w:rPr>
          <w:b/>
          <w:i w:val="0"/>
        </w:rPr>
        <w:t>다중서명</w:t>
      </w:r>
      <w:r>
        <w:rPr>
          <w:b w:val="0"/>
          <w:i w:val="0"/>
        </w:rPr>
        <w:t>은 한 사람의 승인만으로 자금을 움직이지 못하게 여러 권한자의 서명을 요구하는 통제 방식이다.</w:t>
      </w:r>
    </w:p>
    <w:p>
      <w:r>
        <w:rPr>
          <w:b w:val="0"/>
          <w:i w:val="0"/>
        </w:rPr>
        <w:t>지역사회 관련 배분은 이용자·자원봉사자 보상 40%, 접근성·선택 데이터 기여 10%, 복지기관·지역 생태계 15%를 합한 65%다. 이용자·자원봉사자 및 접근성·선택 데이터 기여 물량은 최소 10년에 걸쳐 배분한다. 선택 데이터 기여는 데이터 구매대금이 아니라 별도 동의 아래 들인 시간과 검증된 평가 기여의 인정이며, 건강자료 제공량과 비례시키지 않는다.</w:t>
      </w:r>
    </w:p>
    <w:p>
      <w:r>
        <w:rPr>
          <w:b w:val="0"/>
          <w:i w:val="0"/>
        </w:rPr>
        <w:t>팀·자문 물량은 1년 락업 후 4년 선형 베스팅, 사업개발·투자 물량은 1년 락업 후 3년 선형 베스팅을 적용한다. 재단·운영 준비금은 다중서명으로 관리하고 분기별 사용 내역을 공개한다.</w:t>
      </w:r>
    </w:p>
    <w:p>
      <w:r>
        <w:rPr>
          <w:b w:val="0"/>
          <w:i w:val="0"/>
        </w:rPr>
        <w:t>MODUA는 고정 가치나 상환을 약속하지 않고, 민감정보 구매나 개인 데이터 판매에 의존하지 않는다. 필수 서비스를 토큰 보유와 연결하거나 신규 토큰 판매로 기존 보상을 지급하지 않는다. 추천인 모집·다단계식 보상, 법적 검토 전 거래소 상장과 수익률 홍보도 하지 않는다.</w:t>
      </w:r>
    </w:p>
    <w:p>
      <w:pPr>
        <w:pStyle w:val="Heading2"/>
      </w:pPr>
      <w:r>
        <w:rPr>
          <w:b w:val="0"/>
          <w:i w:val="0"/>
        </w:rPr>
        <w:t>14. 시장 진입과 사업모델</w:t>
      </w:r>
    </w:p>
    <w:p>
      <w:r>
        <w:rPr>
          <w:b w:val="0"/>
          <w:i w:val="0"/>
        </w:rPr>
        <w:t>MODUA는 토큰 판매 없이도 지속 가능한 서비스 계약을 먼저 만든다. 시장 진입 순서와 주 수익원은 다음과 같다.</w:t>
      </w:r>
    </w:p>
    <w:p>
      <w:pPr>
        <w:pStyle w:val="MODUANumber"/>
        <w:numPr>
          <w:ilvl w:val="0"/>
          <w:numId w:val="28"/>
        </w:numPr>
      </w:pPr>
      <w:r>
        <w:rPr>
          <w:b/>
          <w:i w:val="0"/>
        </w:rPr>
        <w:t>지자체·복지기관 계약</w:t>
      </w:r>
      <w:r>
        <w:rPr>
          <w:b w:val="0"/>
          <w:i w:val="0"/>
        </w:rPr>
        <w:t>: 노인·장애인 이용자에게 생활지원 서비스를 제공하는 이용자당 계약</w:t>
      </w:r>
    </w:p>
    <w:p>
      <w:pPr>
        <w:pStyle w:val="MODUANumber"/>
        <w:numPr>
          <w:ilvl w:val="0"/>
          <w:numId w:val="28"/>
        </w:numPr>
      </w:pPr>
      <w:r>
        <w:rPr>
          <w:b/>
          <w:i w:val="0"/>
        </w:rPr>
        <w:t>병원·접근성 포털 계약</w:t>
      </w:r>
      <w:r>
        <w:rPr>
          <w:b w:val="0"/>
          <w:i w:val="0"/>
        </w:rPr>
        <w:t>: 환자 방문 준비, 사용자가 확인한 요약과 기관 접근성 포털 이용 계약</w:t>
      </w:r>
    </w:p>
    <w:p>
      <w:pPr>
        <w:pStyle w:val="MODUANumber"/>
        <w:numPr>
          <w:ilvl w:val="0"/>
          <w:numId w:val="28"/>
        </w:numPr>
      </w:pPr>
      <w:r>
        <w:rPr>
          <w:b/>
          <w:i w:val="0"/>
        </w:rPr>
        <w:t>기업 CSR·ESG 재원</w:t>
      </w:r>
      <w:r>
        <w:rPr>
          <w:b w:val="0"/>
          <w:i w:val="0"/>
        </w:rPr>
        <w:t>: 검증된 상호지원 활동과 접근성 개선을 위한 후원</w:t>
      </w:r>
    </w:p>
    <w:p>
      <w:pPr>
        <w:pStyle w:val="MODUANumber"/>
        <w:numPr>
          <w:ilvl w:val="0"/>
          <w:numId w:val="28"/>
        </w:numPr>
      </w:pPr>
      <w:r>
        <w:rPr>
          <w:b/>
          <w:i w:val="0"/>
        </w:rPr>
        <w:t>기관용 비식별 집계 보고</w:t>
      </w:r>
      <w:r>
        <w:rPr>
          <w:b w:val="0"/>
          <w:i w:val="0"/>
        </w:rPr>
        <w:t>: 활동·접근성 관리와 개인을 다시 알아볼 위험을 평가하고 줄인 운영 집계 보고</w:t>
      </w:r>
    </w:p>
    <w:p>
      <w:r>
        <w:rPr>
          <w:b w:val="0"/>
          <w:i w:val="0"/>
        </w:rPr>
        <w:t>필요한 경우 기관 시스템·공공정보·기존 원화 수단의 사용자 최종 승인 결제 흐름 연동, 사용자 동의 기반의 선택적 가족 편의 기능을 계약 범위에 포함할 수 있다. 신고 결제사업자와의 접근성 연계도 사용자 최종 승인을 전제로 하며, 관련 계약·법률·보안 조건을 통과한 경우에만 별도로 검토한다.</w:t>
      </w:r>
    </w:p>
    <w:p>
      <w:r>
        <w:rPr>
          <w:b w:val="0"/>
          <w:i w:val="0"/>
        </w:rPr>
        <w:t>개인 데이터 판매, 의료 광고, 무인가 가상자산 교환 수수료는 수익모델에 포함하지 않는다. 필수 생활지원이나 포인트 재원을 신규 토큰 판매에 의존시키지 않으며, 토큰 가격·거래량·상장을 사업성과로 삼지 않는다.</w:t>
      </w:r>
    </w:p>
    <w:p>
      <w:r>
        <w:rPr>
          <w:b w:val="0"/>
          <w:i w:val="0"/>
        </w:rPr>
        <w:t xml:space="preserve">초기 시장 검증은 </w:t>
      </w:r>
      <w:r>
        <w:rPr>
          <w:rFonts w:ascii="Noto Sans KR" w:hAnsi="Noto Sans KR" w:eastAsia="Noto Sans KR"/>
          <w:b w:val="0"/>
          <w:i w:val="0"/>
          <w:sz w:val="21"/>
        </w:rPr>
        <w:t>0–2개월 약 20명 공동설계 → 3–5개월 30–50명 모바일 MVP → 6–9개월 100–200명 워치·모바일 통합시험 → 10–15개월 한 곳의 병원 읽기 전용 실증</w:t>
      </w:r>
      <w:r>
        <w:rPr>
          <w:b w:val="0"/>
          <w:i w:val="0"/>
        </w:rPr>
        <w:t xml:space="preserve"> 순서로 진행한다. 다기관·500명 이상 확장은 22–24개월 평가에서 생활문제 개선, 운영비, 안전성과 지속 가능한 계약·후원 재원을 확인한 뒤에만 결정한다.</w:t>
      </w:r>
    </w:p>
    <w:p>
      <w:pPr>
        <w:pStyle w:val="Heading2"/>
      </w:pPr>
      <w:r>
        <w:rPr>
          <w:b w:val="0"/>
          <w:i w:val="0"/>
        </w:rPr>
        <w:t>15. 시스템 아키텍처와 보안</w:t>
      </w:r>
    </w:p>
    <w:p>
      <w:r>
        <w:rPr>
          <w:b w:val="0"/>
          <w:i w:val="0"/>
        </w:rPr>
        <w:t>MODUA는 상용 또는 검증된 오픈소스 AI, 관리형 클라우드, Samsung Health SDK와 기존 기관·원화 인프라를 조합한다. 자체 기반모델, 자체 블록체인, 자체 스테이블코인이나 전용 하드웨어를 초기 전제로 삼지 않는다.</w:t>
      </w:r>
    </w:p>
    <w:p>
      <w:pPr>
        <w:pStyle w:val="Heading3"/>
      </w:pPr>
      <w:r>
        <w:rPr>
          <w:b w:val="0"/>
          <w:i w:val="0"/>
        </w:rPr>
        <w:t>쉬운 용어 설명</w:t>
      </w:r>
    </w:p>
    <w:p>
      <w:pPr>
        <w:pStyle w:val="MODUABullet"/>
        <w:numPr>
          <w:ilvl w:val="0"/>
          <w:numId w:val="29"/>
        </w:numPr>
      </w:pPr>
      <w:r>
        <w:rPr>
          <w:b/>
          <w:i w:val="0"/>
        </w:rPr>
        <w:t>LLM(대규모 언어모델)</w:t>
      </w:r>
      <w:r>
        <w:rPr>
          <w:b w:val="0"/>
          <w:i w:val="0"/>
        </w:rPr>
        <w:t>은 많은 글을 바탕으로 질문의 뜻을 파악하고 답변 초안을 만드는 AI다. MODUA에서는 최종 결정자가 아니라 설명과 초안을 돕는 도구로만 쓴다.</w:t>
      </w:r>
    </w:p>
    <w:p>
      <w:pPr>
        <w:pStyle w:val="MODUABullet"/>
        <w:numPr>
          <w:ilvl w:val="0"/>
          <w:numId w:val="29"/>
        </w:numPr>
      </w:pPr>
      <w:r>
        <w:rPr>
          <w:b/>
          <w:i w:val="0"/>
        </w:rPr>
        <w:t>SDK(소프트웨어 개발 도구 모음)</w:t>
      </w:r>
      <w:r>
        <w:rPr>
          <w:b w:val="0"/>
          <w:i w:val="0"/>
        </w:rPr>
        <w:t>는 다른 회사나 기관이 허용한 기능을 앱에서 연결해 쓰도록 제공하는 공식 도구 묶음이다. MODUA는 SDK가 허용하는 범위와 지원 기기 안에서만 동작하며 제공사와의 공식 제휴를 뜻하지 않는다.</w:t>
      </w:r>
    </w:p>
    <w:p>
      <w:pPr>
        <w:pStyle w:val="MODUABullet"/>
        <w:numPr>
          <w:ilvl w:val="0"/>
          <w:numId w:val="29"/>
        </w:numPr>
      </w:pPr>
      <w:r>
        <w:rPr>
          <w:b/>
          <w:i w:val="0"/>
        </w:rPr>
        <w:t>FHIR R4</w:t>
      </w:r>
      <w:r>
        <w:rPr>
          <w:b w:val="0"/>
          <w:i w:val="0"/>
        </w:rPr>
        <w:t>는 서로 다른 의료정보 시스템이 정해진 형식으로 정보를 읽고 교환하도록 돕는 표준의 한 버전이다.</w:t>
      </w:r>
    </w:p>
    <w:p>
      <w:pPr>
        <w:pStyle w:val="MODUABullet"/>
        <w:numPr>
          <w:ilvl w:val="0"/>
          <w:numId w:val="29"/>
        </w:numPr>
      </w:pPr>
      <w:r>
        <w:rPr>
          <w:b w:val="0"/>
          <w:i w:val="0"/>
        </w:rPr>
        <w:t>KR Core V2는 FHIR R4 기반 국내 교류 상세규격이다. [C-KRCORE-FHIR-R4] [S-KRCORE-V2]</w:t>
      </w:r>
    </w:p>
    <w:p>
      <w:pPr>
        <w:pStyle w:val="Heading3"/>
      </w:pPr>
      <w:r>
        <w:rPr>
          <w:b w:val="0"/>
          <w:i w:val="0"/>
        </w:rPr>
        <w:t>구성과 권한 분리</w:t>
      </w:r>
    </w:p>
    <w:tbl>
      <w:tblPr>
        <w:tblStyle w:val="TableGrid"/>
        <w:tblW w:type="dxa" w:w="9745"/>
        <w:jc w:val="left"/>
        <w:tblLayout w:type="fixed"/>
        <w:tblLook w:firstColumn="1" w:firstRow="1" w:lastColumn="0" w:lastRow="0" w:noHBand="0" w:noVBand="1" w:val="04A0"/>
        <w:tblInd w:w="120" w:type="dxa"/>
        <w:tblBorders>
          <w:top w:val="single" w:sz="6" w:color="AAB3BD"/>
          <w:left w:val="single" w:sz="6" w:color="AAB3BD"/>
          <w:bottom w:val="single" w:sz="6" w:color="AAB3BD"/>
          <w:right w:val="single" w:sz="6" w:color="AAB3BD"/>
          <w:insideH w:val="single" w:sz="6" w:color="AAB3BD"/>
          <w:insideV w:val="single" w:sz="6" w:color="AAB3BD"/>
        </w:tblBorders>
      </w:tblPr>
      <w:tblGrid>
        <w:gridCol w:w="2432"/>
        <w:gridCol w:w="3597"/>
        <w:gridCol w:w="3716"/>
      </w:tblGrid>
      <w:tr>
        <w:trPr>
          <w:tblHeader w:val="true"/>
        </w:trPr>
        <w:tc>
          <w:tcPr>
            <w:tcW w:type="dxa" w:w="2432"/>
            <w:shd w:fill="F4F6F9"/>
            <w:tcMar>
              <w:top w:w="80" w:type="dxa"/>
              <w:bottom w:w="80" w:type="dxa"/>
              <w:start w:w="120" w:type="dxa"/>
              <w:end w:w="120" w:type="dxa"/>
            </w:tcMar>
            <w:vAlign w:val="center"/>
          </w:tcPr>
          <w:p>
            <w:pPr>
              <w:pStyle w:val="MODUATableText"/>
            </w:pPr>
            <w:r>
              <w:rPr>
                <w:b/>
                <w:i w:val="0"/>
              </w:rPr>
              <w:t>구성</w:t>
            </w:r>
          </w:p>
        </w:tc>
        <w:tc>
          <w:tcPr>
            <w:tcW w:type="dxa" w:w="3597"/>
            <w:shd w:fill="F4F6F9"/>
            <w:tcMar>
              <w:top w:w="80" w:type="dxa"/>
              <w:bottom w:w="80" w:type="dxa"/>
              <w:start w:w="120" w:type="dxa"/>
              <w:end w:w="120" w:type="dxa"/>
            </w:tcMar>
            <w:vAlign w:val="center"/>
          </w:tcPr>
          <w:p>
            <w:pPr>
              <w:pStyle w:val="MODUATableText"/>
            </w:pPr>
            <w:r>
              <w:rPr>
                <w:b/>
                <w:i w:val="0"/>
              </w:rPr>
              <w:t>책임</w:t>
            </w:r>
          </w:p>
        </w:tc>
        <w:tc>
          <w:tcPr>
            <w:tcW w:type="dxa" w:w="3716"/>
            <w:shd w:fill="F4F6F9"/>
            <w:tcMar>
              <w:top w:w="80" w:type="dxa"/>
              <w:bottom w:w="80" w:type="dxa"/>
              <w:start w:w="120" w:type="dxa"/>
              <w:end w:w="120" w:type="dxa"/>
            </w:tcMar>
            <w:vAlign w:val="center"/>
          </w:tcPr>
          <w:p>
            <w:pPr>
              <w:pStyle w:val="MODUATableText"/>
            </w:pPr>
            <w:r>
              <w:rPr>
                <w:b/>
                <w:i w:val="0"/>
              </w:rPr>
              <w:t>넘지 않는 경계</w:t>
            </w:r>
          </w:p>
        </w:tc>
      </w:tr>
      <w:tr>
        <w:tc>
          <w:tcPr>
            <w:tcW w:type="dxa" w:w="2432"/>
            <w:tcMar>
              <w:top w:w="80" w:type="dxa"/>
              <w:bottom w:w="80" w:type="dxa"/>
              <w:start w:w="120" w:type="dxa"/>
              <w:end w:w="120" w:type="dxa"/>
            </w:tcMar>
            <w:vAlign w:val="center"/>
          </w:tcPr>
          <w:p>
            <w:pPr>
              <w:pStyle w:val="MODUATableText"/>
            </w:pPr>
            <w:r>
              <w:rPr>
                <w:b w:val="0"/>
                <w:i w:val="0"/>
              </w:rPr>
              <w:t>모바일·워치 인터페이스</w:t>
            </w:r>
          </w:p>
        </w:tc>
        <w:tc>
          <w:tcPr>
            <w:tcW w:type="dxa" w:w="3597"/>
            <w:tcMar>
              <w:top w:w="80" w:type="dxa"/>
              <w:bottom w:w="80" w:type="dxa"/>
              <w:start w:w="120" w:type="dxa"/>
              <w:end w:w="120" w:type="dxa"/>
            </w:tcMar>
            <w:vAlign w:val="center"/>
          </w:tcPr>
          <w:p>
            <w:pPr>
              <w:pStyle w:val="MODUATableText"/>
            </w:pPr>
            <w:r>
              <w:rPr>
                <w:b w:val="0"/>
                <w:i w:val="0"/>
              </w:rPr>
              <w:t>음성·큰 글자·진동·반복 확인, 선택 입력</w:t>
            </w:r>
          </w:p>
        </w:tc>
        <w:tc>
          <w:tcPr>
            <w:tcW w:type="dxa" w:w="3716"/>
            <w:tcMar>
              <w:top w:w="80" w:type="dxa"/>
              <w:bottom w:w="80" w:type="dxa"/>
              <w:start w:w="120" w:type="dxa"/>
              <w:end w:w="120" w:type="dxa"/>
            </w:tcMar>
            <w:vAlign w:val="center"/>
          </w:tcPr>
          <w:p>
            <w:pPr>
              <w:pStyle w:val="MODUATableText"/>
            </w:pPr>
            <w:r>
              <w:rPr>
                <w:b w:val="0"/>
                <w:i w:val="0"/>
              </w:rPr>
              <w:t>의료판단·자율 실행·개인키 보관 금지</w:t>
            </w:r>
          </w:p>
        </w:tc>
      </w:tr>
      <w:tr>
        <w:tc>
          <w:tcPr>
            <w:tcW w:type="dxa" w:w="2432"/>
            <w:tcMar>
              <w:top w:w="80" w:type="dxa"/>
              <w:bottom w:w="80" w:type="dxa"/>
              <w:start w:w="120" w:type="dxa"/>
              <w:end w:w="120" w:type="dxa"/>
            </w:tcMar>
            <w:vAlign w:val="center"/>
          </w:tcPr>
          <w:p>
            <w:pPr>
              <w:pStyle w:val="MODUATableText"/>
            </w:pPr>
            <w:r>
              <w:rPr>
                <w:b w:val="0"/>
                <w:i w:val="0"/>
              </w:rPr>
              <w:t>접근성·동의 정책 엔진</w:t>
            </w:r>
          </w:p>
        </w:tc>
        <w:tc>
          <w:tcPr>
            <w:tcW w:type="dxa" w:w="3597"/>
            <w:tcMar>
              <w:top w:w="80" w:type="dxa"/>
              <w:bottom w:w="80" w:type="dxa"/>
              <w:start w:w="120" w:type="dxa"/>
              <w:end w:w="120" w:type="dxa"/>
            </w:tcMar>
            <w:vAlign w:val="center"/>
          </w:tcPr>
          <w:p>
            <w:pPr>
              <w:pStyle w:val="MODUATableText"/>
            </w:pPr>
            <w:r>
              <w:rPr>
                <w:b w:val="0"/>
                <w:i w:val="0"/>
              </w:rPr>
              <w:t>목적·항목·기간·역할별 권한과 철회 적용</w:t>
            </w:r>
          </w:p>
        </w:tc>
        <w:tc>
          <w:tcPr>
            <w:tcW w:type="dxa" w:w="3716"/>
            <w:tcMar>
              <w:top w:w="80" w:type="dxa"/>
              <w:bottom w:w="80" w:type="dxa"/>
              <w:start w:w="120" w:type="dxa"/>
              <w:end w:w="120" w:type="dxa"/>
            </w:tcMar>
            <w:vAlign w:val="center"/>
          </w:tcPr>
          <w:p>
            <w:pPr>
              <w:pStyle w:val="MODUATableText"/>
            </w:pPr>
            <w:r>
              <w:rPr>
                <w:b w:val="0"/>
                <w:i w:val="0"/>
              </w:rPr>
              <w:t>포괄 동의와 보호자 자동 전권 금지</w:t>
            </w:r>
          </w:p>
        </w:tc>
      </w:tr>
      <w:tr>
        <w:tc>
          <w:tcPr>
            <w:tcW w:type="dxa" w:w="2432"/>
            <w:tcMar>
              <w:top w:w="80" w:type="dxa"/>
              <w:bottom w:w="80" w:type="dxa"/>
              <w:start w:w="120" w:type="dxa"/>
              <w:end w:w="120" w:type="dxa"/>
            </w:tcMar>
            <w:vAlign w:val="center"/>
          </w:tcPr>
          <w:p>
            <w:pPr>
              <w:pStyle w:val="MODUATableText"/>
            </w:pPr>
            <w:r>
              <w:rPr>
                <w:b w:val="0"/>
                <w:i w:val="0"/>
              </w:rPr>
              <w:t>AI 에이전트 오케스트레이터</w:t>
            </w:r>
          </w:p>
        </w:tc>
        <w:tc>
          <w:tcPr>
            <w:tcW w:type="dxa" w:w="3597"/>
            <w:tcMar>
              <w:top w:w="80" w:type="dxa"/>
              <w:bottom w:w="80" w:type="dxa"/>
              <w:start w:w="120" w:type="dxa"/>
              <w:end w:w="120" w:type="dxa"/>
            </w:tcMar>
            <w:vAlign w:val="center"/>
          </w:tcPr>
          <w:p>
            <w:pPr>
              <w:pStyle w:val="MODUATableText"/>
            </w:pPr>
            <w:r>
              <w:rPr>
                <w:b w:val="0"/>
                <w:i w:val="0"/>
              </w:rPr>
              <w:t>의도 파악, 검색, 쉬운 설명, 초안과 사람 연결</w:t>
            </w:r>
          </w:p>
        </w:tc>
        <w:tc>
          <w:tcPr>
            <w:tcW w:type="dxa" w:w="3716"/>
            <w:tcMar>
              <w:top w:w="80" w:type="dxa"/>
              <w:bottom w:w="80" w:type="dxa"/>
              <w:start w:w="120" w:type="dxa"/>
              <w:end w:w="120" w:type="dxa"/>
            </w:tcMar>
            <w:vAlign w:val="center"/>
          </w:tcPr>
          <w:p>
            <w:pPr>
              <w:pStyle w:val="MODUATableText"/>
            </w:pPr>
            <w:r>
              <w:rPr>
                <w:b w:val="0"/>
                <w:i w:val="0"/>
              </w:rPr>
              <w:t>고위험 판단·확정·승인 대행 금지</w:t>
            </w:r>
          </w:p>
        </w:tc>
      </w:tr>
      <w:tr>
        <w:tc>
          <w:tcPr>
            <w:tcW w:type="dxa" w:w="2432"/>
            <w:tcMar>
              <w:top w:w="80" w:type="dxa"/>
              <w:bottom w:w="80" w:type="dxa"/>
              <w:start w:w="120" w:type="dxa"/>
              <w:end w:w="120" w:type="dxa"/>
            </w:tcMar>
            <w:vAlign w:val="center"/>
          </w:tcPr>
          <w:p>
            <w:pPr>
              <w:pStyle w:val="MODUATableText"/>
            </w:pPr>
            <w:r>
              <w:rPr>
                <w:b w:val="0"/>
                <w:i w:val="0"/>
              </w:rPr>
              <w:t>개인·기관 보관 영역</w:t>
            </w:r>
          </w:p>
        </w:tc>
        <w:tc>
          <w:tcPr>
            <w:tcW w:type="dxa" w:w="3597"/>
            <w:tcMar>
              <w:top w:w="80" w:type="dxa"/>
              <w:bottom w:w="80" w:type="dxa"/>
              <w:start w:w="120" w:type="dxa"/>
              <w:end w:w="120" w:type="dxa"/>
            </w:tcMar>
            <w:vAlign w:val="center"/>
          </w:tcPr>
          <w:p>
            <w:pPr>
              <w:pStyle w:val="MODUATableText"/>
            </w:pPr>
            <w:r>
              <w:rPr>
                <w:b w:val="0"/>
                <w:i w:val="0"/>
              </w:rPr>
              <w:t>원문, 개인화 기억, 연구자료와 운영기록의 분리</w:t>
            </w:r>
          </w:p>
        </w:tc>
        <w:tc>
          <w:tcPr>
            <w:tcW w:type="dxa" w:w="3716"/>
            <w:tcMar>
              <w:top w:w="80" w:type="dxa"/>
              <w:bottom w:w="80" w:type="dxa"/>
              <w:start w:w="120" w:type="dxa"/>
              <w:end w:w="120" w:type="dxa"/>
            </w:tcMar>
            <w:vAlign w:val="center"/>
          </w:tcPr>
          <w:p>
            <w:pPr>
              <w:pStyle w:val="MODUATableText"/>
            </w:pPr>
            <w:r>
              <w:rPr>
                <w:b w:val="0"/>
                <w:i w:val="0"/>
              </w:rPr>
              <w:t>목적 밖 결합과 보상 원장 내 민감 원문 금지</w:t>
            </w:r>
          </w:p>
        </w:tc>
      </w:tr>
      <w:tr>
        <w:tc>
          <w:tcPr>
            <w:tcW w:type="dxa" w:w="2432"/>
            <w:tcMar>
              <w:top w:w="80" w:type="dxa"/>
              <w:bottom w:w="80" w:type="dxa"/>
              <w:start w:w="120" w:type="dxa"/>
              <w:end w:w="120" w:type="dxa"/>
            </w:tcMar>
            <w:vAlign w:val="center"/>
          </w:tcPr>
          <w:p>
            <w:pPr>
              <w:pStyle w:val="MODUATableText"/>
            </w:pPr>
            <w:r>
              <w:rPr>
                <w:b w:val="0"/>
                <w:i w:val="0"/>
              </w:rPr>
              <w:t>병원 연계 서비스</w:t>
            </w:r>
          </w:p>
        </w:tc>
        <w:tc>
          <w:tcPr>
            <w:tcW w:type="dxa" w:w="3597"/>
            <w:tcMar>
              <w:top w:w="80" w:type="dxa"/>
              <w:bottom w:w="80" w:type="dxa"/>
              <w:start w:w="120" w:type="dxa"/>
              <w:end w:w="120" w:type="dxa"/>
            </w:tcMar>
            <w:vAlign w:val="center"/>
          </w:tcPr>
          <w:p>
            <w:pPr>
              <w:pStyle w:val="MODUATableText"/>
            </w:pPr>
            <w:r>
              <w:rPr>
                <w:b w:val="0"/>
                <w:i w:val="0"/>
              </w:rPr>
              <w:t>사용자 명시적 승인 요약, 화면·PDF와 계약된 읽기 전용 교류</w:t>
            </w:r>
          </w:p>
        </w:tc>
        <w:tc>
          <w:tcPr>
            <w:tcW w:type="dxa" w:w="3716"/>
            <w:tcMar>
              <w:top w:w="80" w:type="dxa"/>
              <w:bottom w:w="80" w:type="dxa"/>
              <w:start w:w="120" w:type="dxa"/>
              <w:end w:w="120" w:type="dxa"/>
            </w:tcMar>
            <w:vAlign w:val="center"/>
          </w:tcPr>
          <w:p>
            <w:pPr>
              <w:pStyle w:val="MODUATableText"/>
            </w:pPr>
            <w:r>
              <w:rPr>
                <w:b w:val="0"/>
                <w:i w:val="0"/>
              </w:rPr>
              <w:t>계약 전 연결, EMR 자동 쓰기, 진단·처방 자동화 금지</w:t>
            </w:r>
          </w:p>
        </w:tc>
      </w:tr>
      <w:tr>
        <w:tc>
          <w:tcPr>
            <w:tcW w:type="dxa" w:w="2432"/>
            <w:tcMar>
              <w:top w:w="80" w:type="dxa"/>
              <w:bottom w:w="80" w:type="dxa"/>
              <w:start w:w="120" w:type="dxa"/>
              <w:end w:w="120" w:type="dxa"/>
            </w:tcMar>
            <w:vAlign w:val="center"/>
          </w:tcPr>
          <w:p>
            <w:pPr>
              <w:pStyle w:val="MODUATableText"/>
            </w:pPr>
            <w:r>
              <w:rPr>
                <w:b w:val="0"/>
                <w:i w:val="0"/>
              </w:rPr>
              <w:t>보상 서비스</w:t>
            </w:r>
          </w:p>
        </w:tc>
        <w:tc>
          <w:tcPr>
            <w:tcW w:type="dxa" w:w="3597"/>
            <w:tcMar>
              <w:top w:w="80" w:type="dxa"/>
              <w:bottom w:w="80" w:type="dxa"/>
              <w:start w:w="120" w:type="dxa"/>
              <w:end w:w="120" w:type="dxa"/>
            </w:tcMar>
            <w:vAlign w:val="center"/>
          </w:tcPr>
          <w:p>
            <w:pPr>
              <w:pStyle w:val="MODUATableText"/>
            </w:pPr>
            <w:r>
              <w:rPr>
                <w:b w:val="0"/>
                <w:i w:val="0"/>
              </w:rPr>
              <w:t>양도 불가능한 포인트, 상호확인과 분쟁 기록</w:t>
            </w:r>
          </w:p>
        </w:tc>
        <w:tc>
          <w:tcPr>
            <w:tcW w:type="dxa" w:w="3716"/>
            <w:tcMar>
              <w:top w:w="80" w:type="dxa"/>
              <w:bottom w:w="80" w:type="dxa"/>
              <w:start w:w="120" w:type="dxa"/>
              <w:end w:w="120" w:type="dxa"/>
            </w:tcMar>
            <w:vAlign w:val="center"/>
          </w:tcPr>
          <w:p>
            <w:pPr>
              <w:pStyle w:val="MODUATableText"/>
            </w:pPr>
            <w:r>
              <w:rPr>
                <w:b w:val="0"/>
                <w:i w:val="0"/>
              </w:rPr>
              <w:t>모든 원장에 건강·대화·병원 원본·요약·식별자·메타데이터 기록 금지</w:t>
            </w:r>
          </w:p>
        </w:tc>
      </w:tr>
      <w:tr>
        <w:tc>
          <w:tcPr>
            <w:tcW w:type="dxa" w:w="2432"/>
            <w:tcMar>
              <w:top w:w="80" w:type="dxa"/>
              <w:bottom w:w="80" w:type="dxa"/>
              <w:start w:w="120" w:type="dxa"/>
              <w:end w:w="120" w:type="dxa"/>
            </w:tcMar>
            <w:vAlign w:val="center"/>
          </w:tcPr>
          <w:p>
            <w:pPr>
              <w:pStyle w:val="MODUATableText"/>
            </w:pPr>
            <w:r>
              <w:rPr>
                <w:b w:val="0"/>
                <w:i w:val="0"/>
              </w:rPr>
              <w:t>외부 실행 어댑터</w:t>
            </w:r>
          </w:p>
        </w:tc>
        <w:tc>
          <w:tcPr>
            <w:tcW w:type="dxa" w:w="3597"/>
            <w:tcMar>
              <w:top w:w="80" w:type="dxa"/>
              <w:bottom w:w="80" w:type="dxa"/>
              <w:start w:w="120" w:type="dxa"/>
              <w:end w:w="120" w:type="dxa"/>
            </w:tcMar>
            <w:vAlign w:val="center"/>
          </w:tcPr>
          <w:p>
            <w:pPr>
              <w:pStyle w:val="MODUATableText"/>
            </w:pPr>
            <w:r>
              <w:rPr>
                <w:b w:val="0"/>
                <w:i w:val="0"/>
              </w:rPr>
              <w:t>허용된 기관·기존 원화 서비스에 사용자 최종 승인 요청 전달</w:t>
            </w:r>
          </w:p>
        </w:tc>
        <w:tc>
          <w:tcPr>
            <w:tcW w:type="dxa" w:w="3716"/>
            <w:tcMar>
              <w:top w:w="80" w:type="dxa"/>
              <w:bottom w:w="80" w:type="dxa"/>
              <w:start w:w="120" w:type="dxa"/>
              <w:end w:w="120" w:type="dxa"/>
            </w:tcMar>
            <w:vAlign w:val="center"/>
          </w:tcPr>
          <w:p>
            <w:pPr>
              <w:pStyle w:val="MODUATableText"/>
            </w:pPr>
            <w:r>
              <w:rPr>
                <w:b w:val="0"/>
                <w:i w:val="0"/>
              </w:rPr>
              <w:t>MODUA의 자산·개인키 보관과 자율 실행 금지</w:t>
            </w:r>
          </w:p>
        </w:tc>
      </w:tr>
    </w:tbl>
    <w:p>
      <w:pPr>
        <w:spacing w:after="40"/>
      </w:pPr>
    </w:p>
    <w:p>
      <w:r>
        <w:rPr>
          <w:b w:val="0"/>
          <w:i w:val="0"/>
        </w:rPr>
        <w:t xml:space="preserve">기본 흐름은 </w:t>
      </w:r>
      <w:r>
        <w:rPr>
          <w:rFonts w:ascii="Noto Sans KR" w:hAnsi="Noto Sans KR" w:eastAsia="Noto Sans KR"/>
          <w:b w:val="0"/>
          <w:i w:val="0"/>
          <w:sz w:val="21"/>
        </w:rPr>
        <w:t>입력 → 접근성·동의 정책 확인 → 의도 파악 → 검증된 검색 또는 허용된 도구 → 쉬운 설명 → 위험 확인 → 초안 → 사람의 검토 → 사용자 최종 승인 → 최소 기록</w:t>
      </w:r>
      <w:r>
        <w:rPr>
          <w:b w:val="0"/>
          <w:i w:val="0"/>
        </w:rPr>
        <w:t>이다. 외부 정보 전송은 사용자의 명시적 승인을 받은 범위에 한정하고, 불확실하거나 권한이 없으면 실행하지 않는다.</w:t>
      </w:r>
    </w:p>
    <w:p>
      <w:r>
        <w:rPr>
          <w:b w:val="0"/>
          <w:i w:val="0"/>
        </w:rPr>
        <w:t>보안은 필요한 만큼만 수집하고, 개인 영역·기관 운영 영역·연구 영역·보상 영역·병원 교환 영역을 분리하는 것에서 시작한다. 전송과 저장을 암호화하고 역할별 최소권한, 접근기록, 철회·삭제 처리, 사고 차단과 법정 통지 절차를 적용한다. 건강·대화·병원 데이터의 원본·요약·식별자·메타데이터는 블록체인, 토큰·보상 원장, 사용자 최종 승인 결제 원장과 정산 원장 어디에도 두지 않으며 가상자산 개인키도 워치에 두지 않는다.</w:t>
      </w:r>
    </w:p>
    <w:p>
      <w:r>
        <w:rPr>
          <w:b w:val="0"/>
          <w:i w:val="0"/>
        </w:rPr>
        <w:t>모델이 확신할 수 없으면 모른다고 밝히고 근거를 다시 찾거나 사람에게 연결한다. 워치 미착용·배터리 부족·오프라인·동기화 실패는 정상값으로 추정하지 않는다. 병원 연계가 끊기면 사용자가 확인한 화면·PDF로 돌아가고 사용자가 명시적으로 승인하지 않은 자동 재전송은 하지 않는다. 중대한 개인정보·의료·보안 사고가 해결되지 않았거나 주요 이용자 집단의 안전 기준을 충족하지 못하면 해당 기능의 출시와 확대를 멈춘다.</w:t>
      </w:r>
    </w:p>
    <w:p>
      <w:pPr>
        <w:pStyle w:val="Heading2"/>
      </w:pPr>
      <w:r>
        <w:rPr>
          <w:b w:val="0"/>
          <w:i w:val="0"/>
        </w:rPr>
        <w:t>16. 거버넌스와 책임</w:t>
      </w:r>
    </w:p>
    <w:p>
      <w:r>
        <w:rPr>
          <w:b w:val="0"/>
          <w:i w:val="0"/>
        </w:rPr>
        <w:t>MODUA의 이용자 자문위원회는 노인·장애인 당사자가 과반을 차지한다. 이용자 대표는 접근성, 보상 기준, 고위험 기능, 중대한 정책 변경을 검토하고 쉬운 설명이 실제로 이해되는지 확인한다.</w:t>
      </w:r>
    </w:p>
    <w:p>
      <w:r>
        <w:rPr>
          <w:b w:val="0"/>
          <w:i w:val="0"/>
        </w:rPr>
        <w:t>데이터·윤리위원회는 연구 동의, 고위험 기능과 데이터 사용 목적의 변경을 검토한다. 보상 기준의 변경, 대규모 데이터 이용 변경과 조건부 토큰 전환 결정은 사전에 알리고 이해하기 쉬운 설명과 의견 제출 경로를 제공한다. 당사자의 안전·기본권에 관한 결정은 이용자 대표기구와 독립적인 윤리·법률 검토를 우선한다.</w:t>
      </w:r>
    </w:p>
    <w:p>
      <w:r>
        <w:rPr>
          <w:b w:val="0"/>
          <w:i w:val="0"/>
        </w:rPr>
        <w:t>권리와 안전에 관한 결정권은 토큰 보유량으로 가중하지 않는다. 토큰이 없거나 적어도 이용자의 이의제기·철회·서비스 접근 권리는 같으며, 재산 보유량으로 당사자 대표성이나 의료·개인정보·접근성 기준을 정하지 않는다.</w:t>
      </w:r>
    </w:p>
    <w:tbl>
      <w:tblPr>
        <w:tblStyle w:val="TableGrid"/>
        <w:tblW w:type="dxa" w:w="9745"/>
        <w:jc w:val="left"/>
        <w:tblLayout w:type="fixed"/>
        <w:tblLook w:firstColumn="1" w:firstRow="1" w:lastColumn="0" w:lastRow="0" w:noHBand="0" w:noVBand="1" w:val="04A0"/>
        <w:tblInd w:w="120" w:type="dxa"/>
        <w:tblBorders>
          <w:top w:val="single" w:sz="6" w:color="AAB3BD"/>
          <w:left w:val="single" w:sz="6" w:color="AAB3BD"/>
          <w:bottom w:val="single" w:sz="6" w:color="AAB3BD"/>
          <w:right w:val="single" w:sz="6" w:color="AAB3BD"/>
          <w:insideH w:val="single" w:sz="6" w:color="AAB3BD"/>
          <w:insideV w:val="single" w:sz="6" w:color="AAB3BD"/>
        </w:tblBorders>
      </w:tblPr>
      <w:tblGrid>
        <w:gridCol w:w="3050"/>
        <w:gridCol w:w="6695"/>
      </w:tblGrid>
      <w:tr>
        <w:trPr>
          <w:tblHeader w:val="true"/>
        </w:trPr>
        <w:tc>
          <w:tcPr>
            <w:tcW w:type="dxa" w:w="3050"/>
            <w:shd w:fill="F4F6F9"/>
            <w:tcMar>
              <w:top w:w="80" w:type="dxa"/>
              <w:bottom w:w="80" w:type="dxa"/>
              <w:start w:w="120" w:type="dxa"/>
              <w:end w:w="120" w:type="dxa"/>
            </w:tcMar>
            <w:vAlign w:val="center"/>
          </w:tcPr>
          <w:p>
            <w:pPr>
              <w:pStyle w:val="MODUATableText"/>
            </w:pPr>
            <w:r>
              <w:rPr>
                <w:b/>
                <w:i w:val="0"/>
              </w:rPr>
              <w:t>주체</w:t>
            </w:r>
          </w:p>
        </w:tc>
        <w:tc>
          <w:tcPr>
            <w:tcW w:type="dxa" w:w="6695"/>
            <w:shd w:fill="F4F6F9"/>
            <w:tcMar>
              <w:top w:w="80" w:type="dxa"/>
              <w:bottom w:w="80" w:type="dxa"/>
              <w:start w:w="120" w:type="dxa"/>
              <w:end w:w="120" w:type="dxa"/>
            </w:tcMar>
            <w:vAlign w:val="center"/>
          </w:tcPr>
          <w:p>
            <w:pPr>
              <w:pStyle w:val="MODUATableText"/>
            </w:pPr>
            <w:r>
              <w:rPr>
                <w:b/>
                <w:i w:val="0"/>
              </w:rPr>
              <w:t>주요 책임</w:t>
            </w:r>
          </w:p>
        </w:tc>
      </w:tr>
      <w:tr>
        <w:tc>
          <w:tcPr>
            <w:tcW w:type="dxa" w:w="3050"/>
            <w:tcMar>
              <w:top w:w="80" w:type="dxa"/>
              <w:bottom w:w="80" w:type="dxa"/>
              <w:start w:w="120" w:type="dxa"/>
              <w:end w:w="120" w:type="dxa"/>
            </w:tcMar>
            <w:vAlign w:val="center"/>
          </w:tcPr>
          <w:p>
            <w:pPr>
              <w:pStyle w:val="MODUATableText"/>
            </w:pPr>
            <w:r>
              <w:rPr>
                <w:b w:val="0"/>
                <w:i w:val="0"/>
              </w:rPr>
              <w:t>이용자 자문위원회</w:t>
            </w:r>
          </w:p>
        </w:tc>
        <w:tc>
          <w:tcPr>
            <w:tcW w:type="dxa" w:w="6695"/>
            <w:tcMar>
              <w:top w:w="80" w:type="dxa"/>
              <w:bottom w:w="80" w:type="dxa"/>
              <w:start w:w="120" w:type="dxa"/>
              <w:end w:w="120" w:type="dxa"/>
            </w:tcMar>
            <w:vAlign w:val="center"/>
          </w:tcPr>
          <w:p>
            <w:pPr>
              <w:pStyle w:val="MODUATableText"/>
            </w:pPr>
            <w:r>
              <w:rPr>
                <w:b w:val="0"/>
                <w:i w:val="0"/>
              </w:rPr>
              <w:t>당사자 과반 구성, 접근성·권리·보상 정책 검토</w:t>
            </w:r>
          </w:p>
        </w:tc>
      </w:tr>
      <w:tr>
        <w:tc>
          <w:tcPr>
            <w:tcW w:type="dxa" w:w="3050"/>
            <w:tcMar>
              <w:top w:w="80" w:type="dxa"/>
              <w:bottom w:w="80" w:type="dxa"/>
              <w:start w:w="120" w:type="dxa"/>
              <w:end w:w="120" w:type="dxa"/>
            </w:tcMar>
            <w:vAlign w:val="center"/>
          </w:tcPr>
          <w:p>
            <w:pPr>
              <w:pStyle w:val="MODUATableText"/>
            </w:pPr>
            <w:r>
              <w:rPr>
                <w:b w:val="0"/>
                <w:i w:val="0"/>
              </w:rPr>
              <w:t>데이터·윤리위원회</w:t>
            </w:r>
          </w:p>
        </w:tc>
        <w:tc>
          <w:tcPr>
            <w:tcW w:type="dxa" w:w="6695"/>
            <w:tcMar>
              <w:top w:w="80" w:type="dxa"/>
              <w:bottom w:w="80" w:type="dxa"/>
              <w:start w:w="120" w:type="dxa"/>
              <w:end w:w="120" w:type="dxa"/>
            </w:tcMar>
            <w:vAlign w:val="center"/>
          </w:tcPr>
          <w:p>
            <w:pPr>
              <w:pStyle w:val="MODUATableText"/>
            </w:pPr>
            <w:r>
              <w:rPr>
                <w:b w:val="0"/>
                <w:i w:val="0"/>
              </w:rPr>
              <w:t>연구 동의, 고위험 기능, 목적 변경과 집단별 영향 검토</w:t>
            </w:r>
          </w:p>
        </w:tc>
      </w:tr>
      <w:tr>
        <w:tc>
          <w:tcPr>
            <w:tcW w:type="dxa" w:w="3050"/>
            <w:tcMar>
              <w:top w:w="80" w:type="dxa"/>
              <w:bottom w:w="80" w:type="dxa"/>
              <w:start w:w="120" w:type="dxa"/>
              <w:end w:w="120" w:type="dxa"/>
            </w:tcMar>
            <w:vAlign w:val="center"/>
          </w:tcPr>
          <w:p>
            <w:pPr>
              <w:pStyle w:val="MODUATableText"/>
            </w:pPr>
            <w:r>
              <w:rPr>
                <w:b w:val="0"/>
                <w:i w:val="0"/>
              </w:rPr>
              <w:t>재단·운영 주체</w:t>
            </w:r>
          </w:p>
        </w:tc>
        <w:tc>
          <w:tcPr>
            <w:tcW w:type="dxa" w:w="6695"/>
            <w:tcMar>
              <w:top w:w="80" w:type="dxa"/>
              <w:bottom w:w="80" w:type="dxa"/>
              <w:start w:w="120" w:type="dxa"/>
              <w:end w:w="120" w:type="dxa"/>
            </w:tcMar>
            <w:vAlign w:val="center"/>
          </w:tcPr>
          <w:p>
            <w:pPr>
              <w:pStyle w:val="MODUATableText"/>
            </w:pPr>
            <w:r>
              <w:rPr>
                <w:b w:val="0"/>
                <w:i w:val="0"/>
              </w:rPr>
              <w:t>다중서명 집행, 분기별 자금 공개, 사고·분쟁 대응</w:t>
            </w:r>
          </w:p>
        </w:tc>
      </w:tr>
      <w:tr>
        <w:tc>
          <w:tcPr>
            <w:tcW w:type="dxa" w:w="3050"/>
            <w:tcMar>
              <w:top w:w="80" w:type="dxa"/>
              <w:bottom w:w="80" w:type="dxa"/>
              <w:start w:w="120" w:type="dxa"/>
              <w:end w:w="120" w:type="dxa"/>
            </w:tcMar>
            <w:vAlign w:val="center"/>
          </w:tcPr>
          <w:p>
            <w:pPr>
              <w:pStyle w:val="MODUATableText"/>
            </w:pPr>
            <w:r>
              <w:rPr>
                <w:b w:val="0"/>
                <w:i w:val="0"/>
              </w:rPr>
              <w:t>기관 파트너</w:t>
            </w:r>
          </w:p>
        </w:tc>
        <w:tc>
          <w:tcPr>
            <w:tcW w:type="dxa" w:w="6695"/>
            <w:tcMar>
              <w:top w:w="80" w:type="dxa"/>
              <w:bottom w:w="80" w:type="dxa"/>
              <w:start w:w="120" w:type="dxa"/>
              <w:end w:w="120" w:type="dxa"/>
            </w:tcMar>
            <w:vAlign w:val="center"/>
          </w:tcPr>
          <w:p>
            <w:pPr>
              <w:pStyle w:val="MODUATableText"/>
            </w:pPr>
            <w:r>
              <w:rPr>
                <w:b w:val="0"/>
                <w:i w:val="0"/>
              </w:rPr>
              <w:t>계약 범위의 접근통제, 담당자 교육, 기록과 현장 대응</w:t>
            </w:r>
          </w:p>
        </w:tc>
      </w:tr>
      <w:tr>
        <w:tc>
          <w:tcPr>
            <w:tcW w:type="dxa" w:w="3050"/>
            <w:tcMar>
              <w:top w:w="80" w:type="dxa"/>
              <w:bottom w:w="80" w:type="dxa"/>
              <w:start w:w="120" w:type="dxa"/>
              <w:end w:w="120" w:type="dxa"/>
            </w:tcMar>
            <w:vAlign w:val="center"/>
          </w:tcPr>
          <w:p>
            <w:pPr>
              <w:pStyle w:val="MODUATableText"/>
            </w:pPr>
            <w:r>
              <w:rPr>
                <w:b w:val="0"/>
                <w:i w:val="0"/>
              </w:rPr>
              <w:t>독립 전문가</w:t>
            </w:r>
          </w:p>
        </w:tc>
        <w:tc>
          <w:tcPr>
            <w:tcW w:type="dxa" w:w="6695"/>
            <w:tcMar>
              <w:top w:w="80" w:type="dxa"/>
              <w:bottom w:w="80" w:type="dxa"/>
              <w:start w:w="120" w:type="dxa"/>
              <w:end w:w="120" w:type="dxa"/>
            </w:tcMar>
            <w:vAlign w:val="center"/>
          </w:tcPr>
          <w:p>
            <w:pPr>
              <w:pStyle w:val="MODUATableText"/>
            </w:pPr>
            <w:r>
              <w:rPr>
                <w:b w:val="0"/>
                <w:i w:val="0"/>
              </w:rPr>
              <w:t>보안·개인정보·의료·금융·세무·회계·접근성 검토</w:t>
            </w:r>
          </w:p>
        </w:tc>
      </w:tr>
    </w:tbl>
    <w:p>
      <w:pPr>
        <w:spacing w:after="40"/>
      </w:pPr>
    </w:p>
    <w:p>
      <w:r>
        <w:rPr>
          <w:b w:val="0"/>
          <w:i w:val="0"/>
        </w:rPr>
        <w:t>재단 자금은 다중서명으로 집행하고 분기별 사용 내역을 공개한다. 중대한 사고, 보상 분쟁, 모델 성능의 이용자 집단별 격차와 개선 상태를 정기적으로 알린다. 한 사람이 도움 제공과 완료 확정을 독점하지 못하게 하고, 분쟁은 보상을 보류한 뒤 사람이 최소 기록을 검토한다. 부정 의심만으로 필수 생활지원 서비스를 중단하지 않는다.</w:t>
      </w:r>
    </w:p>
    <w:p>
      <w:pPr>
        <w:pStyle w:val="Heading2"/>
      </w:pPr>
      <w:r>
        <w:rPr>
          <w:b w:val="0"/>
          <w:i w:val="0"/>
        </w:rPr>
        <w:t>17. 24개월 로드맵과 단계별 중단 기준</w:t>
      </w:r>
    </w:p>
    <w:p>
      <w:r>
        <w:rPr>
          <w:b w:val="0"/>
          <w:i w:val="0"/>
        </w:rPr>
        <w:t>MODUA는 0–24개월의 여섯 단계 검증 로드맵을 따른다. [C-ROADMAP-0-24]</w:t>
      </w:r>
    </w:p>
    <w:p>
      <w:r>
        <w:rPr>
          <w:b w:val="0"/>
          <w:i w:val="0"/>
        </w:rPr>
        <w:t>초기 핵심팀은 제품·접근성, Android/Wear OS, AI·백엔드, 디자인·QA를 중심으로 4–6명으로 구성한다. 보안, 의료, 개인정보, 금융 법률은 단계별 외부 자문과 파트너 역량을 활용한다.</w:t>
      </w:r>
    </w:p>
    <w:p>
      <w:pPr>
        <w:pStyle w:val="Heading3"/>
      </w:pPr>
      <w:r>
        <w:rPr>
          <w:b w:val="0"/>
          <w:i w:val="0"/>
        </w:rPr>
        <w:t>0–2개월: 검증과 협력 준비</w:t>
      </w:r>
    </w:p>
    <w:p>
      <w:pPr>
        <w:pStyle w:val="MODUABullet"/>
        <w:numPr>
          <w:ilvl w:val="0"/>
          <w:numId w:val="30"/>
        </w:numPr>
      </w:pPr>
      <w:r>
        <w:rPr>
          <w:b/>
          <w:i w:val="0"/>
        </w:rPr>
        <w:t>제공물</w:t>
      </w:r>
      <w:r>
        <w:rPr>
          <w:b w:val="0"/>
          <w:i w:val="0"/>
        </w:rPr>
        <w:t>: 핵심 생활과제 5개와 확장 평가과제 20개, 워치·휴대전화 동기화 기술시험, 병원·복지기관·신고 사업자 협력 가능성 확인, 개인정보·연구동의·의료·사용자 최종 승인 결제·보상 법률 예비검토</w:t>
      </w:r>
    </w:p>
    <w:p>
      <w:pPr>
        <w:pStyle w:val="MODUABullet"/>
        <w:numPr>
          <w:ilvl w:val="0"/>
          <w:numId w:val="30"/>
        </w:numPr>
      </w:pPr>
      <w:r>
        <w:rPr>
          <w:b/>
          <w:i w:val="0"/>
        </w:rPr>
        <w:t>검증 규모</w:t>
      </w:r>
      <w:r>
        <w:rPr>
          <w:b w:val="0"/>
          <w:i w:val="0"/>
        </w:rPr>
        <w:t>: 노인·장애인·지원자 약 20명의 유급 공동설계</w:t>
      </w:r>
    </w:p>
    <w:p>
      <w:pPr>
        <w:pStyle w:val="MODUABullet"/>
        <w:numPr>
          <w:ilvl w:val="0"/>
          <w:numId w:val="30"/>
        </w:numPr>
      </w:pPr>
      <w:r>
        <w:rPr>
          <w:b/>
          <w:i w:val="0"/>
        </w:rPr>
        <w:t>통과 조건</w:t>
      </w:r>
      <w:r>
        <w:rPr>
          <w:b w:val="0"/>
          <w:i w:val="0"/>
        </w:rPr>
        <w:t>: 핵심 과제 확정, 워치 데이터 접근시험 성공, 1개 이상의 병원 또는 지역기관 협력 의향 확보</w:t>
      </w:r>
    </w:p>
    <w:p>
      <w:pPr>
        <w:pStyle w:val="MODUABullet"/>
        <w:numPr>
          <w:ilvl w:val="0"/>
          <w:numId w:val="30"/>
        </w:numPr>
      </w:pPr>
      <w:r>
        <w:rPr>
          <w:b/>
          <w:i w:val="0"/>
        </w:rPr>
        <w:t>중단·건너뜀 조건</w:t>
      </w:r>
      <w:r>
        <w:rPr>
          <w:b w:val="0"/>
          <w:i w:val="0"/>
        </w:rPr>
        <w:t>: 통과 조건을 모두 확인하지 못하면 3–5개월 확대를 시작하지 않고, 미충족 항목을 다시 검증한다.</w:t>
      </w:r>
    </w:p>
    <w:p>
      <w:pPr>
        <w:pStyle w:val="Heading3"/>
      </w:pPr>
      <w:r>
        <w:rPr>
          <w:b w:val="0"/>
          <w:i w:val="0"/>
        </w:rPr>
        <w:t>3–5개월: 모바일 MVP</w:t>
      </w:r>
    </w:p>
    <w:p>
      <w:pPr>
        <w:pStyle w:val="MODUABullet"/>
        <w:numPr>
          <w:ilvl w:val="0"/>
          <w:numId w:val="31"/>
        </w:numPr>
      </w:pPr>
      <w:r>
        <w:rPr>
          <w:b/>
          <w:i w:val="0"/>
        </w:rPr>
        <w:t>제공물</w:t>
      </w:r>
      <w:r>
        <w:rPr>
          <w:b w:val="0"/>
          <w:i w:val="0"/>
        </w:rPr>
        <w:t>: 음성 대화, 문서 설명, 일정·복약 알림, 도움 요청·지원자 연결, 사용자 최종 승인 원화 결제 설명·확인, 양도 불가능한 MODUA 포인트</w:t>
      </w:r>
    </w:p>
    <w:p>
      <w:pPr>
        <w:pStyle w:val="MODUABullet"/>
        <w:numPr>
          <w:ilvl w:val="0"/>
          <w:numId w:val="31"/>
        </w:numPr>
      </w:pPr>
      <w:r>
        <w:rPr>
          <w:b/>
          <w:i w:val="0"/>
        </w:rPr>
        <w:t>검증 규모</w:t>
      </w:r>
      <w:r>
        <w:rPr>
          <w:b w:val="0"/>
          <w:i w:val="0"/>
        </w:rPr>
        <w:t>: 30–50명의 폐쇄형 사용성 검증</w:t>
      </w:r>
    </w:p>
    <w:p>
      <w:pPr>
        <w:pStyle w:val="MODUABullet"/>
        <w:numPr>
          <w:ilvl w:val="0"/>
          <w:numId w:val="31"/>
        </w:numPr>
      </w:pPr>
      <w:r>
        <w:rPr>
          <w:b/>
          <w:i w:val="0"/>
        </w:rPr>
        <w:t>통과 조건</w:t>
      </w:r>
      <w:r>
        <w:rPr>
          <w:b w:val="0"/>
          <w:i w:val="0"/>
        </w:rPr>
        <w:t>: 핵심 과제의 반복 수행 가능, 사용자 최종 승인 결제 흐름을 포함한 중대한 개인정보·결제 사고 0건, 사용자의 동의 이해·철회 가능성 확인</w:t>
      </w:r>
    </w:p>
    <w:p>
      <w:pPr>
        <w:pStyle w:val="MODUABullet"/>
        <w:numPr>
          <w:ilvl w:val="0"/>
          <w:numId w:val="31"/>
        </w:numPr>
      </w:pPr>
      <w:r>
        <w:rPr>
          <w:b/>
          <w:i w:val="0"/>
        </w:rPr>
        <w:t>중단·건너뜀 조건</w:t>
      </w:r>
      <w:r>
        <w:rPr>
          <w:b w:val="0"/>
          <w:i w:val="0"/>
        </w:rPr>
        <w:t>: 반복 수행, 사고 0건, 동의 이해·철회 가운데 하나라도 확인하지 못하면 6–9개월 워치 확대를 멈추고 모바일 안전성과 접근성을 보완한다.</w:t>
      </w:r>
    </w:p>
    <w:p>
      <w:pPr>
        <w:pStyle w:val="Heading3"/>
      </w:pPr>
      <w:r>
        <w:rPr>
          <w:b w:val="0"/>
          <w:i w:val="0"/>
        </w:rPr>
        <w:t>6–9개월: Galaxy Watch 동반자</w:t>
      </w:r>
    </w:p>
    <w:p>
      <w:pPr>
        <w:pStyle w:val="MODUABullet"/>
        <w:numPr>
          <w:ilvl w:val="0"/>
          <w:numId w:val="32"/>
        </w:numPr>
      </w:pPr>
      <w:r>
        <w:rPr>
          <w:b/>
          <w:i w:val="0"/>
        </w:rPr>
        <w:t>제공물</w:t>
      </w:r>
      <w:r>
        <w:rPr>
          <w:b w:val="0"/>
          <w:i w:val="0"/>
        </w:rPr>
        <w:t>: 걸음·수면·심박 집계정보, 진동·음성 알림과 도움 요청, 사용자 최종 승인 결제의 금액·수취인·상태 표시와 휴대전화 최종확인 연결, 미착용·배터리 부족·오프라인·동기화 실패 대응</w:t>
      </w:r>
    </w:p>
    <w:p>
      <w:pPr>
        <w:pStyle w:val="MODUABullet"/>
        <w:numPr>
          <w:ilvl w:val="0"/>
          <w:numId w:val="32"/>
        </w:numPr>
      </w:pPr>
      <w:r>
        <w:rPr>
          <w:b/>
          <w:i w:val="0"/>
        </w:rPr>
        <w:t>검증 규모</w:t>
      </w:r>
      <w:r>
        <w:rPr>
          <w:b w:val="0"/>
          <w:i w:val="0"/>
        </w:rPr>
        <w:t>: 100–200명의 워치·모바일 통합시험</w:t>
      </w:r>
    </w:p>
    <w:p>
      <w:pPr>
        <w:pStyle w:val="MODUABullet"/>
        <w:numPr>
          <w:ilvl w:val="0"/>
          <w:numId w:val="32"/>
        </w:numPr>
      </w:pPr>
      <w:r>
        <w:rPr>
          <w:b/>
          <w:i w:val="0"/>
        </w:rPr>
        <w:t>통과 조건</w:t>
      </w:r>
      <w:r>
        <w:rPr>
          <w:b w:val="0"/>
          <w:i w:val="0"/>
        </w:rPr>
        <w:t>: 배터리·연결 장애에도 안전한 상태 표시, 잘못된 긴급 알림의 관리 가능성, 미착용 데이터를 정상값으로 오인하지 않음</w:t>
      </w:r>
    </w:p>
    <w:p>
      <w:pPr>
        <w:pStyle w:val="MODUABullet"/>
        <w:numPr>
          <w:ilvl w:val="0"/>
          <w:numId w:val="32"/>
        </w:numPr>
      </w:pPr>
      <w:r>
        <w:rPr>
          <w:b/>
          <w:i w:val="0"/>
        </w:rPr>
        <w:t>중단·건너뜀 조건</w:t>
      </w:r>
      <w:r>
        <w:rPr>
          <w:b w:val="0"/>
          <w:i w:val="0"/>
        </w:rPr>
        <w:t>: 통과 조건을 모두 확인하지 못하면 워치 기능의 출시·확대를 멈추거나 건너뛰고 검증된 모바일 흐름을 유지한다.</w:t>
      </w:r>
    </w:p>
    <w:p>
      <w:pPr>
        <w:pStyle w:val="Heading3"/>
      </w:pPr>
      <w:r>
        <w:rPr>
          <w:b w:val="0"/>
          <w:i w:val="0"/>
        </w:rPr>
        <w:t>10–15개월: 한 곳의 병원과 읽기 전용 실증</w:t>
      </w:r>
    </w:p>
    <w:p>
      <w:pPr>
        <w:pStyle w:val="MODUABullet"/>
        <w:numPr>
          <w:ilvl w:val="0"/>
          <w:numId w:val="33"/>
        </w:numPr>
      </w:pPr>
      <w:r>
        <w:rPr>
          <w:b/>
          <w:i w:val="0"/>
        </w:rPr>
        <w:t>제공물</w:t>
      </w:r>
      <w:r>
        <w:rPr>
          <w:b w:val="0"/>
          <w:i w:val="0"/>
        </w:rPr>
        <w:t>: 사용자가 명시적으로 승인한 복약·생활·워치 요약과 의료진 포털, 화면·PDF 우선 제공, 계약된 KR Core V2/FHIR R4 읽기 연계, 출처·측정시각·한계 표시</w:t>
      </w:r>
    </w:p>
    <w:p>
      <w:pPr>
        <w:pStyle w:val="MODUABullet"/>
        <w:numPr>
          <w:ilvl w:val="0"/>
          <w:numId w:val="33"/>
        </w:numPr>
      </w:pPr>
      <w:r>
        <w:rPr>
          <w:b/>
          <w:i w:val="0"/>
        </w:rPr>
        <w:t>검증 규모</w:t>
      </w:r>
      <w:r>
        <w:rPr>
          <w:b w:val="0"/>
          <w:i w:val="0"/>
        </w:rPr>
        <w:t>: 한 곳의 병원에서 읽기 전용 실증</w:t>
      </w:r>
    </w:p>
    <w:p>
      <w:pPr>
        <w:pStyle w:val="MODUABullet"/>
        <w:numPr>
          <w:ilvl w:val="0"/>
          <w:numId w:val="33"/>
        </w:numPr>
      </w:pPr>
      <w:r>
        <w:rPr>
          <w:b/>
          <w:i w:val="0"/>
        </w:rPr>
        <w:t>통과 조건</w:t>
      </w:r>
      <w:r>
        <w:rPr>
          <w:b w:val="0"/>
          <w:i w:val="0"/>
        </w:rPr>
        <w:t>: 병원 계약과 보안검토 완료, 의료진의 출처·한계 확인, 진단·처방 자동화 없음</w:t>
      </w:r>
    </w:p>
    <w:p>
      <w:pPr>
        <w:pStyle w:val="MODUABullet"/>
        <w:numPr>
          <w:ilvl w:val="0"/>
          <w:numId w:val="33"/>
        </w:numPr>
      </w:pPr>
      <w:r>
        <w:rPr>
          <w:b/>
          <w:i w:val="0"/>
        </w:rPr>
        <w:t>중단·건너뜀 조건</w:t>
      </w:r>
      <w:r>
        <w:rPr>
          <w:b w:val="0"/>
          <w:i w:val="0"/>
        </w:rPr>
        <w:t>: 계약·보안검토·진료기록 전송동의·필요한 연구심의 가운데 하나라도 갖추지 못하면 표준 연계를 건너뛰고 사용자가 확인한 화면·PDF 흐름만 유지한다.</w:t>
      </w:r>
    </w:p>
    <w:p>
      <w:pPr>
        <w:pStyle w:val="Heading3"/>
      </w:pPr>
      <w:r>
        <w:rPr>
          <w:b w:val="0"/>
          <w:i w:val="0"/>
        </w:rPr>
        <w:t>16–21개월: 조건부 스테이블코인 결제 실증 — 사용자 최종 승인</w:t>
      </w:r>
    </w:p>
    <w:p>
      <w:pPr>
        <w:pStyle w:val="MODUABullet"/>
        <w:numPr>
          <w:ilvl w:val="0"/>
          <w:numId w:val="34"/>
        </w:numPr>
      </w:pPr>
      <w:r>
        <w:rPr>
          <w:b/>
          <w:i w:val="0"/>
        </w:rPr>
        <w:t>제공물</w:t>
      </w:r>
      <w:r>
        <w:rPr>
          <w:b w:val="0"/>
          <w:i w:val="0"/>
        </w:rPr>
        <w:t>: 신고 사업자가 고객확인·자금세탁방지·수탁·환전·원화정산을 맡고, 워치는 사용자 최종 승인 결제 의도를 표시하며 휴대전화는 큰 글씨·음성 재확인과 사용자 최종 인증을 제공하는 외부 흐름, 오송금·사기·수수료·중복결제·취소·환불 시험</w:t>
      </w:r>
    </w:p>
    <w:p>
      <w:pPr>
        <w:pStyle w:val="MODUABullet"/>
        <w:numPr>
          <w:ilvl w:val="0"/>
          <w:numId w:val="34"/>
        </w:numPr>
      </w:pPr>
      <w:r>
        <w:rPr>
          <w:b/>
          <w:i w:val="0"/>
        </w:rPr>
        <w:t>검증 규모</w:t>
      </w:r>
      <w:r>
        <w:rPr>
          <w:b w:val="0"/>
          <w:i w:val="0"/>
        </w:rPr>
        <w:t>: 소액·저빈도·폐쇄형 이용자부터 시작하며 숫자는 사전에 확정하지 않는다.</w:t>
      </w:r>
    </w:p>
    <w:p>
      <w:pPr>
        <w:pStyle w:val="MODUABullet"/>
        <w:numPr>
          <w:ilvl w:val="0"/>
          <w:numId w:val="34"/>
        </w:numPr>
      </w:pPr>
      <w:r>
        <w:rPr>
          <w:b/>
          <w:i w:val="0"/>
        </w:rPr>
        <w:t>통과 조건</w:t>
      </w:r>
      <w:r>
        <w:rPr>
          <w:b w:val="0"/>
          <w:i w:val="0"/>
        </w:rPr>
        <w:t>: 신고 사업자 계약, 독립 법률검토, 보안시험, 고객지원·분쟁절차 완료</w:t>
      </w:r>
    </w:p>
    <w:p>
      <w:pPr>
        <w:pStyle w:val="MODUABullet"/>
        <w:numPr>
          <w:ilvl w:val="0"/>
          <w:numId w:val="34"/>
        </w:numPr>
      </w:pPr>
      <w:r>
        <w:rPr>
          <w:b/>
          <w:i w:val="0"/>
        </w:rPr>
        <w:t>중단·건너뜀 조건</w:t>
      </w:r>
      <w:r>
        <w:rPr>
          <w:b w:val="0"/>
          <w:i w:val="0"/>
        </w:rPr>
        <w:t>: 통과 조건 가운데 하나라도 충족하지 못하면 이 단계를 연기하거나 제외하고, 사용자 최종 승인 원화 결제 흐름과 양도 불가능한 MODUA 포인트만 유지한다.</w:t>
      </w:r>
    </w:p>
    <w:p>
      <w:pPr>
        <w:pStyle w:val="Heading3"/>
      </w:pPr>
      <w:r>
        <w:rPr>
          <w:b w:val="0"/>
          <w:i w:val="0"/>
        </w:rPr>
        <w:t>22–24개월: 확장 여부 결정</w:t>
      </w:r>
    </w:p>
    <w:p>
      <w:pPr>
        <w:pStyle w:val="MODUABullet"/>
        <w:numPr>
          <w:ilvl w:val="0"/>
          <w:numId w:val="35"/>
        </w:numPr>
      </w:pPr>
      <w:r>
        <w:rPr>
          <w:b/>
          <w:i w:val="0"/>
        </w:rPr>
        <w:t>제공물</w:t>
      </w:r>
      <w:r>
        <w:rPr>
          <w:b w:val="0"/>
          <w:i w:val="0"/>
        </w:rPr>
        <w:t>: 병원·복지기관 추가와 지역 확대 가능성, 운영비·생활문제 개선·의료진과 지원자 업무부담, 외부 보안·개인정보·접근성 점검, 포인트 장기구조와 조건부 토큰 필요성의 독립 검토</w:t>
      </w:r>
    </w:p>
    <w:p>
      <w:pPr>
        <w:pStyle w:val="MODUABullet"/>
        <w:numPr>
          <w:ilvl w:val="0"/>
          <w:numId w:val="35"/>
        </w:numPr>
      </w:pPr>
      <w:r>
        <w:rPr>
          <w:b/>
          <w:i w:val="0"/>
        </w:rPr>
        <w:t>검증 규모</w:t>
      </w:r>
      <w:r>
        <w:rPr>
          <w:b w:val="0"/>
          <w:i w:val="0"/>
        </w:rPr>
        <w:t>: 다기관·500명 이상 확장 여부를 결정하며, 이 단계에서 확장을 미리 실행하지 않는다.</w:t>
      </w:r>
    </w:p>
    <w:p>
      <w:pPr>
        <w:pStyle w:val="MODUABullet"/>
        <w:numPr>
          <w:ilvl w:val="0"/>
          <w:numId w:val="35"/>
        </w:numPr>
      </w:pPr>
      <w:r>
        <w:rPr>
          <w:b/>
          <w:i w:val="0"/>
        </w:rPr>
        <w:t>통과 조건</w:t>
      </w:r>
      <w:r>
        <w:rPr>
          <w:b w:val="0"/>
          <w:i w:val="0"/>
        </w:rPr>
        <w:t>: 이용자 생활문제 개선, 파트너 운영부담의 수용 가능성, 지속 가능한 계약·후원 재원 확보</w:t>
      </w:r>
    </w:p>
    <w:p>
      <w:pPr>
        <w:pStyle w:val="MODUABullet"/>
        <w:numPr>
          <w:ilvl w:val="0"/>
          <w:numId w:val="35"/>
        </w:numPr>
      </w:pPr>
      <w:r>
        <w:rPr>
          <w:b/>
          <w:i w:val="0"/>
        </w:rPr>
        <w:t>중단·건너뜀 조건</w:t>
      </w:r>
      <w:r>
        <w:rPr>
          <w:b w:val="0"/>
          <w:i w:val="0"/>
        </w:rPr>
        <w:t>: 통과 조건을 모두 확인하지 못하면 다기관·500명 이상 확장을 하지 않고 현재의 검증 규모와 토큰 없는 서비스·포인트 구조를 유지한다. 통과하더라도 토큰 발행은 이후 별도 승인 대상이다.</w:t>
      </w:r>
    </w:p>
    <w:p>
      <w:pPr>
        <w:pStyle w:val="Heading2"/>
      </w:pPr>
      <w:r>
        <w:rPr>
          <w:b w:val="0"/>
          <w:i w:val="0"/>
        </w:rPr>
        <w:t>18. 위험요인과 면책</w:t>
      </w:r>
    </w:p>
    <w:tbl>
      <w:tblPr>
        <w:tblStyle w:val="TableGrid"/>
        <w:tblW w:type="dxa" w:w="9745"/>
        <w:jc w:val="left"/>
        <w:tblLayout w:type="fixed"/>
        <w:tblLook w:firstColumn="1" w:firstRow="1" w:lastColumn="0" w:lastRow="0" w:noHBand="0" w:noVBand="1" w:val="04A0"/>
        <w:tblInd w:w="120" w:type="dxa"/>
        <w:tblBorders>
          <w:top w:val="single" w:sz="6" w:color="AAB3BD"/>
          <w:left w:val="single" w:sz="6" w:color="AAB3BD"/>
          <w:bottom w:val="single" w:sz="6" w:color="AAB3BD"/>
          <w:right w:val="single" w:sz="6" w:color="AAB3BD"/>
          <w:insideH w:val="single" w:sz="6" w:color="AAB3BD"/>
          <w:insideV w:val="single" w:sz="6" w:color="AAB3BD"/>
        </w:tblBorders>
      </w:tblPr>
      <w:tblGrid>
        <w:gridCol w:w="2924"/>
        <w:gridCol w:w="6821"/>
      </w:tblGrid>
      <w:tr>
        <w:trPr>
          <w:tblHeader w:val="true"/>
        </w:trPr>
        <w:tc>
          <w:tcPr>
            <w:tcW w:type="dxa" w:w="2924"/>
            <w:shd w:fill="F4F6F9"/>
            <w:tcMar>
              <w:top w:w="80" w:type="dxa"/>
              <w:bottom w:w="80" w:type="dxa"/>
              <w:start w:w="120" w:type="dxa"/>
              <w:end w:w="120" w:type="dxa"/>
            </w:tcMar>
            <w:vAlign w:val="center"/>
          </w:tcPr>
          <w:p>
            <w:pPr>
              <w:pStyle w:val="MODUATableText"/>
            </w:pPr>
            <w:r>
              <w:rPr>
                <w:b/>
                <w:i w:val="0"/>
              </w:rPr>
              <w:t>위험</w:t>
            </w:r>
          </w:p>
        </w:tc>
        <w:tc>
          <w:tcPr>
            <w:tcW w:type="dxa" w:w="6821"/>
            <w:shd w:fill="F4F6F9"/>
            <w:tcMar>
              <w:top w:w="80" w:type="dxa"/>
              <w:bottom w:w="80" w:type="dxa"/>
              <w:start w:w="120" w:type="dxa"/>
              <w:end w:w="120" w:type="dxa"/>
            </w:tcMar>
            <w:vAlign w:val="center"/>
          </w:tcPr>
          <w:p>
            <w:pPr>
              <w:pStyle w:val="MODUATableText"/>
            </w:pPr>
            <w:r>
              <w:rPr>
                <w:b/>
                <w:i w:val="0"/>
              </w:rPr>
              <w:t>대응과 중단 경계</w:t>
            </w:r>
          </w:p>
        </w:tc>
      </w:tr>
      <w:tr>
        <w:tc>
          <w:tcPr>
            <w:tcW w:type="dxa" w:w="2924"/>
            <w:tcMar>
              <w:top w:w="80" w:type="dxa"/>
              <w:bottom w:w="80" w:type="dxa"/>
              <w:start w:w="120" w:type="dxa"/>
              <w:end w:w="120" w:type="dxa"/>
            </w:tcMar>
            <w:vAlign w:val="center"/>
          </w:tcPr>
          <w:p>
            <w:pPr>
              <w:pStyle w:val="MODUATableText"/>
            </w:pPr>
            <w:r>
              <w:rPr>
                <w:b w:val="0"/>
                <w:i w:val="0"/>
              </w:rPr>
              <w:t>접근성 실패</w:t>
            </w:r>
          </w:p>
        </w:tc>
        <w:tc>
          <w:tcPr>
            <w:tcW w:type="dxa" w:w="6821"/>
            <w:tcMar>
              <w:top w:w="80" w:type="dxa"/>
              <w:bottom w:w="80" w:type="dxa"/>
              <w:start w:w="120" w:type="dxa"/>
              <w:end w:w="120" w:type="dxa"/>
            </w:tcMar>
            <w:vAlign w:val="center"/>
          </w:tcPr>
          <w:p>
            <w:pPr>
              <w:pStyle w:val="MODUATableText"/>
            </w:pPr>
            <w:r>
              <w:rPr>
                <w:b w:val="0"/>
                <w:i w:val="0"/>
              </w:rPr>
              <w:t>장애 유형·연령·음성 특성·디지털 숙련도별로 평가한다. 주요 이용자 집단 하나라도 안전 기준을 충족하지 못하면 해당 기능을 제한한다.</w:t>
            </w:r>
          </w:p>
        </w:tc>
      </w:tr>
      <w:tr>
        <w:tc>
          <w:tcPr>
            <w:tcW w:type="dxa" w:w="2924"/>
            <w:tcMar>
              <w:top w:w="80" w:type="dxa"/>
              <w:bottom w:w="80" w:type="dxa"/>
              <w:start w:w="120" w:type="dxa"/>
              <w:end w:w="120" w:type="dxa"/>
            </w:tcMar>
            <w:vAlign w:val="center"/>
          </w:tcPr>
          <w:p>
            <w:pPr>
              <w:pStyle w:val="MODUATableText"/>
            </w:pPr>
            <w:r>
              <w:rPr>
                <w:b w:val="0"/>
                <w:i w:val="0"/>
              </w:rPr>
              <w:t>AI 환각</w:t>
            </w:r>
          </w:p>
        </w:tc>
        <w:tc>
          <w:tcPr>
            <w:tcW w:type="dxa" w:w="6821"/>
            <w:tcMar>
              <w:top w:w="80" w:type="dxa"/>
              <w:bottom w:w="80" w:type="dxa"/>
              <w:start w:w="120" w:type="dxa"/>
              <w:end w:w="120" w:type="dxa"/>
            </w:tcMar>
            <w:vAlign w:val="center"/>
          </w:tcPr>
          <w:p>
            <w:pPr>
              <w:pStyle w:val="MODUATableText"/>
            </w:pPr>
            <w:r>
              <w:rPr>
                <w:b w:val="0"/>
                <w:i w:val="0"/>
              </w:rPr>
              <w:t>근거 없는 안내를 피하기 위해 모른다고 밝히고 출처를 다시 확인하거나 사람에게 연결한다. 의료·법률·재정처럼 위험이 큰 답변은 별도로 평가하고 자동 확정하지 않는다.</w:t>
            </w:r>
          </w:p>
        </w:tc>
      </w:tr>
      <w:tr>
        <w:tc>
          <w:tcPr>
            <w:tcW w:type="dxa" w:w="2924"/>
            <w:tcMar>
              <w:top w:w="80" w:type="dxa"/>
              <w:bottom w:w="80" w:type="dxa"/>
              <w:start w:w="120" w:type="dxa"/>
              <w:end w:w="120" w:type="dxa"/>
            </w:tcMar>
            <w:vAlign w:val="center"/>
          </w:tcPr>
          <w:p>
            <w:pPr>
              <w:pStyle w:val="MODUATableText"/>
            </w:pPr>
            <w:r>
              <w:rPr>
                <w:b w:val="0"/>
                <w:i w:val="0"/>
              </w:rPr>
              <w:t>동의 오해</w:t>
            </w:r>
          </w:p>
        </w:tc>
        <w:tc>
          <w:tcPr>
            <w:tcW w:type="dxa" w:w="6821"/>
            <w:tcMar>
              <w:top w:w="80" w:type="dxa"/>
              <w:bottom w:w="80" w:type="dxa"/>
              <w:start w:w="120" w:type="dxa"/>
              <w:end w:w="120" w:type="dxa"/>
            </w:tcMar>
            <w:vAlign w:val="center"/>
          </w:tcPr>
          <w:p>
            <w:pPr>
              <w:pStyle w:val="MODUATableText"/>
            </w:pPr>
            <w:r>
              <w:rPr>
                <w:b w:val="0"/>
                <w:i w:val="0"/>
              </w:rPr>
              <w:t>목적·항목·기간·철회 방법을 쉬운 말과 접근 가능한 방식으로 나누어 설명한다. 이해 또는 적법한 대리 절차가 확인되지 않으면 선택 기능과 외부 이용을 진행하지 않는다.</w:t>
            </w:r>
          </w:p>
        </w:tc>
      </w:tr>
      <w:tr>
        <w:tc>
          <w:tcPr>
            <w:tcW w:type="dxa" w:w="2924"/>
            <w:tcMar>
              <w:top w:w="80" w:type="dxa"/>
              <w:bottom w:w="80" w:type="dxa"/>
              <w:start w:w="120" w:type="dxa"/>
              <w:end w:w="120" w:type="dxa"/>
            </w:tcMar>
            <w:vAlign w:val="center"/>
          </w:tcPr>
          <w:p>
            <w:pPr>
              <w:pStyle w:val="MODUATableText"/>
            </w:pPr>
            <w:r>
              <w:rPr>
                <w:b w:val="0"/>
                <w:i w:val="0"/>
              </w:rPr>
              <w:t>웨어러블 공백</w:t>
            </w:r>
          </w:p>
        </w:tc>
        <w:tc>
          <w:tcPr>
            <w:tcW w:type="dxa" w:w="6821"/>
            <w:tcMar>
              <w:top w:w="80" w:type="dxa"/>
              <w:bottom w:w="80" w:type="dxa"/>
              <w:start w:w="120" w:type="dxa"/>
              <w:end w:w="120" w:type="dxa"/>
            </w:tcMar>
            <w:vAlign w:val="center"/>
          </w:tcPr>
          <w:p>
            <w:pPr>
              <w:pStyle w:val="MODUATableText"/>
            </w:pPr>
            <w:r>
              <w:rPr>
                <w:b w:val="0"/>
                <w:i w:val="0"/>
              </w:rPr>
              <w:t xml:space="preserve">미착용·배터리 부족·오프라인·동기화 실패를 정상값으로 추정하지 않고 </w:t>
            </w:r>
            <w:r>
              <w:rPr>
                <w:rFonts w:ascii="Noto Sans KR" w:hAnsi="Noto Sans KR" w:eastAsia="Noto Sans KR"/>
                <w:b w:val="0"/>
                <w:i w:val="0"/>
                <w:sz w:val="21"/>
              </w:rPr>
              <w:t>데이터 없음</w:t>
            </w:r>
            <w:r>
              <w:rPr>
                <w:b w:val="0"/>
                <w:i w:val="0"/>
              </w:rPr>
              <w:t>과 측정시각을 표시한다.</w:t>
            </w:r>
          </w:p>
        </w:tc>
      </w:tr>
      <w:tr>
        <w:tc>
          <w:tcPr>
            <w:tcW w:type="dxa" w:w="2924"/>
            <w:tcMar>
              <w:top w:w="80" w:type="dxa"/>
              <w:bottom w:w="80" w:type="dxa"/>
              <w:start w:w="120" w:type="dxa"/>
              <w:end w:w="120" w:type="dxa"/>
            </w:tcMar>
            <w:vAlign w:val="center"/>
          </w:tcPr>
          <w:p>
            <w:pPr>
              <w:pStyle w:val="MODUATableText"/>
            </w:pPr>
            <w:r>
              <w:rPr>
                <w:b w:val="0"/>
                <w:i w:val="0"/>
              </w:rPr>
              <w:t>임상적 과잉</w:t>
            </w:r>
          </w:p>
        </w:tc>
        <w:tc>
          <w:tcPr>
            <w:tcW w:type="dxa" w:w="6821"/>
            <w:tcMar>
              <w:top w:w="80" w:type="dxa"/>
              <w:bottom w:w="80" w:type="dxa"/>
              <w:start w:w="120" w:type="dxa"/>
              <w:end w:w="120" w:type="dxa"/>
            </w:tcMar>
            <w:vAlign w:val="center"/>
          </w:tcPr>
          <w:p>
            <w:pPr>
              <w:pStyle w:val="MODUATableText"/>
            </w:pPr>
            <w:r>
              <w:rPr>
                <w:b w:val="0"/>
                <w:i w:val="0"/>
              </w:rPr>
              <w:t>MODUA는 진단·처방 변경·응급판정을 자동화하지 않는다. 웰니스 경계를 넘을 가능성이 있으면 의료·연구·규제 검토 전 기능을 제한한다.</w:t>
            </w:r>
          </w:p>
        </w:tc>
      </w:tr>
      <w:tr>
        <w:tc>
          <w:tcPr>
            <w:tcW w:type="dxa" w:w="2924"/>
            <w:tcMar>
              <w:top w:w="80" w:type="dxa"/>
              <w:bottom w:w="80" w:type="dxa"/>
              <w:start w:w="120" w:type="dxa"/>
              <w:end w:w="120" w:type="dxa"/>
            </w:tcMar>
            <w:vAlign w:val="center"/>
          </w:tcPr>
          <w:p>
            <w:pPr>
              <w:pStyle w:val="MODUATableText"/>
            </w:pPr>
            <w:r>
              <w:rPr>
                <w:b w:val="0"/>
                <w:i w:val="0"/>
              </w:rPr>
              <w:t>병원 연계 실패</w:t>
            </w:r>
          </w:p>
        </w:tc>
        <w:tc>
          <w:tcPr>
            <w:tcW w:type="dxa" w:w="6821"/>
            <w:tcMar>
              <w:top w:w="80" w:type="dxa"/>
              <w:bottom w:w="80" w:type="dxa"/>
              <w:start w:w="120" w:type="dxa"/>
              <w:end w:w="120" w:type="dxa"/>
            </w:tcMar>
            <w:vAlign w:val="center"/>
          </w:tcPr>
          <w:p>
            <w:pPr>
              <w:pStyle w:val="MODUATableText"/>
            </w:pPr>
            <w:r>
              <w:rPr>
                <w:b w:val="0"/>
                <w:i w:val="0"/>
              </w:rPr>
              <w:t>계약·보안검토·사용자 명시적 승인·필요한 연구심의가 없거나 연결이 실패하면 읽기 전용 표준 연계를 중단하고 화면·PDF 요약으로 돌아간다.</w:t>
            </w:r>
          </w:p>
        </w:tc>
      </w:tr>
      <w:tr>
        <w:tc>
          <w:tcPr>
            <w:tcW w:type="dxa" w:w="2924"/>
            <w:tcMar>
              <w:top w:w="80" w:type="dxa"/>
              <w:bottom w:w="80" w:type="dxa"/>
              <w:start w:w="120" w:type="dxa"/>
              <w:end w:w="120" w:type="dxa"/>
            </w:tcMar>
            <w:vAlign w:val="center"/>
          </w:tcPr>
          <w:p>
            <w:pPr>
              <w:pStyle w:val="MODUATableText"/>
            </w:pPr>
            <w:r>
              <w:rPr>
                <w:b w:val="0"/>
                <w:i w:val="0"/>
              </w:rPr>
              <w:t>금융 규제</w:t>
            </w:r>
          </w:p>
        </w:tc>
        <w:tc>
          <w:tcPr>
            <w:tcW w:type="dxa" w:w="6821"/>
            <w:tcMar>
              <w:top w:w="80" w:type="dxa"/>
              <w:bottom w:w="80" w:type="dxa"/>
              <w:start w:w="120" w:type="dxa"/>
              <w:end w:w="120" w:type="dxa"/>
            </w:tcMar>
            <w:vAlign w:val="center"/>
          </w:tcPr>
          <w:p>
            <w:pPr>
              <w:pStyle w:val="MODUATableText"/>
            </w:pPr>
            <w:r>
              <w:rPr>
                <w:b w:val="0"/>
                <w:i w:val="0"/>
              </w:rPr>
              <w:t>MODUA는 스테이블코인을 발행·수탁·교환하지 않는다. 사용자 최종 승인 외부 결제 실증은 신고 사업자 계약·독립 법률검토·보안시험을 모두 통과하지 못하면 출시하지 않는다.</w:t>
            </w:r>
          </w:p>
        </w:tc>
      </w:tr>
      <w:tr>
        <w:tc>
          <w:tcPr>
            <w:tcW w:type="dxa" w:w="2924"/>
            <w:tcMar>
              <w:top w:w="80" w:type="dxa"/>
              <w:bottom w:w="80" w:type="dxa"/>
              <w:start w:w="120" w:type="dxa"/>
              <w:end w:w="120" w:type="dxa"/>
            </w:tcMar>
            <w:vAlign w:val="center"/>
          </w:tcPr>
          <w:p>
            <w:pPr>
              <w:pStyle w:val="MODUATableText"/>
            </w:pPr>
            <w:r>
              <w:rPr>
                <w:b w:val="0"/>
                <w:i w:val="0"/>
              </w:rPr>
              <w:t>사기·강압</w:t>
            </w:r>
          </w:p>
        </w:tc>
        <w:tc>
          <w:tcPr>
            <w:tcW w:type="dxa" w:w="6821"/>
            <w:tcMar>
              <w:top w:w="80" w:type="dxa"/>
              <w:bottom w:w="80" w:type="dxa"/>
              <w:start w:w="120" w:type="dxa"/>
              <w:end w:w="120" w:type="dxa"/>
            </w:tcMar>
            <w:vAlign w:val="center"/>
          </w:tcPr>
          <w:p>
            <w:pPr>
              <w:pStyle w:val="MODUATableText"/>
            </w:pPr>
            <w:r>
              <w:rPr>
                <w:b w:val="0"/>
                <w:i w:val="0"/>
              </w:rPr>
              <w:t>사용자 최종 승인 결제 전에 금액·수취인·수수료를 다시 보여주고 위험 신호가 있으면 중단해 선택된 신뢰 연락처나 기관으로 연결한다.</w:t>
            </w:r>
          </w:p>
        </w:tc>
      </w:tr>
      <w:tr>
        <w:tc>
          <w:tcPr>
            <w:tcW w:type="dxa" w:w="2924"/>
            <w:tcMar>
              <w:top w:w="80" w:type="dxa"/>
              <w:bottom w:w="80" w:type="dxa"/>
              <w:start w:w="120" w:type="dxa"/>
              <w:end w:w="120" w:type="dxa"/>
            </w:tcMar>
            <w:vAlign w:val="center"/>
          </w:tcPr>
          <w:p>
            <w:pPr>
              <w:pStyle w:val="MODUATableText"/>
            </w:pPr>
            <w:r>
              <w:rPr>
                <w:b w:val="0"/>
                <w:i w:val="0"/>
              </w:rPr>
              <w:t>결제 중복</w:t>
            </w:r>
          </w:p>
        </w:tc>
        <w:tc>
          <w:tcPr>
            <w:tcW w:type="dxa" w:w="6821"/>
            <w:tcMar>
              <w:top w:w="80" w:type="dxa"/>
              <w:bottom w:w="80" w:type="dxa"/>
              <w:start w:w="120" w:type="dxa"/>
              <w:end w:w="120" w:type="dxa"/>
            </w:tcMar>
            <w:vAlign w:val="center"/>
          </w:tcPr>
          <w:p>
            <w:pPr>
              <w:pStyle w:val="MODUATableText"/>
            </w:pPr>
            <w:r>
              <w:rPr>
                <w:b w:val="0"/>
                <w:i w:val="0"/>
              </w:rPr>
              <w:t xml:space="preserve">모든 사용자 최종 승인 결제 요청에 고유 식별자를 붙이고 응답 지연을 </w:t>
            </w:r>
            <w:r>
              <w:rPr>
                <w:rFonts w:ascii="Noto Sans KR" w:hAnsi="Noto Sans KR" w:eastAsia="Noto Sans KR"/>
                <w:b w:val="0"/>
                <w:i w:val="0"/>
                <w:sz w:val="21"/>
              </w:rPr>
              <w:t>확인 중</w:t>
            </w:r>
            <w:r>
              <w:rPr>
                <w:b w:val="0"/>
                <w:i w:val="0"/>
              </w:rPr>
              <w:t>으로 유지한다. 최종 상태 전 자동 재시도·재승인을 하지 않는다.</w:t>
            </w:r>
          </w:p>
        </w:tc>
      </w:tr>
      <w:tr>
        <w:tc>
          <w:tcPr>
            <w:tcW w:type="dxa" w:w="2924"/>
            <w:tcMar>
              <w:top w:w="80" w:type="dxa"/>
              <w:bottom w:w="80" w:type="dxa"/>
              <w:start w:w="120" w:type="dxa"/>
              <w:end w:w="120" w:type="dxa"/>
            </w:tcMar>
            <w:vAlign w:val="center"/>
          </w:tcPr>
          <w:p>
            <w:pPr>
              <w:pStyle w:val="MODUATableText"/>
            </w:pPr>
            <w:r>
              <w:rPr>
                <w:b w:val="0"/>
                <w:i w:val="0"/>
              </w:rPr>
              <w:t>도움 제공자 담합</w:t>
            </w:r>
          </w:p>
        </w:tc>
        <w:tc>
          <w:tcPr>
            <w:tcW w:type="dxa" w:w="6821"/>
            <w:tcMar>
              <w:top w:w="80" w:type="dxa"/>
              <w:bottom w:w="80" w:type="dxa"/>
              <w:start w:w="120" w:type="dxa"/>
              <w:end w:w="120" w:type="dxa"/>
            </w:tcMar>
            <w:vAlign w:val="center"/>
          </w:tcPr>
          <w:p>
            <w:pPr>
              <w:pStyle w:val="MODUATableText"/>
            </w:pPr>
            <w:r>
              <w:rPr>
                <w:b w:val="0"/>
                <w:i w:val="0"/>
              </w:rPr>
              <w:t>도움을 받은 사람과 제공자의 상호확인, 고위험 활동의 기관·시스템 증빙과 사람 검토를 적용한다. 의심 기록의 보상은 보류하되 필수 서비스는 유지한다.</w:t>
            </w:r>
          </w:p>
        </w:tc>
      </w:tr>
      <w:tr>
        <w:tc>
          <w:tcPr>
            <w:tcW w:type="dxa" w:w="2924"/>
            <w:tcMar>
              <w:top w:w="80" w:type="dxa"/>
              <w:bottom w:w="80" w:type="dxa"/>
              <w:start w:w="120" w:type="dxa"/>
              <w:end w:w="120" w:type="dxa"/>
            </w:tcMar>
            <w:vAlign w:val="center"/>
          </w:tcPr>
          <w:p>
            <w:pPr>
              <w:pStyle w:val="MODUATableText"/>
            </w:pPr>
            <w:r>
              <w:rPr>
                <w:b w:val="0"/>
                <w:i w:val="0"/>
              </w:rPr>
              <w:t>지속 가능성</w:t>
            </w:r>
          </w:p>
        </w:tc>
        <w:tc>
          <w:tcPr>
            <w:tcW w:type="dxa" w:w="6821"/>
            <w:tcMar>
              <w:top w:w="80" w:type="dxa"/>
              <w:bottom w:w="80" w:type="dxa"/>
              <w:start w:w="120" w:type="dxa"/>
              <w:end w:w="120" w:type="dxa"/>
            </w:tcMar>
            <w:vAlign w:val="center"/>
          </w:tcPr>
          <w:p>
            <w:pPr>
              <w:pStyle w:val="MODUATableText"/>
            </w:pPr>
            <w:r>
              <w:rPr>
                <w:b w:val="0"/>
                <w:i w:val="0"/>
              </w:rPr>
              <w:t>지자체·복지기관, 병원·접근성 포털, CSR·ESG와 기관 보고 계약을 먼저 검증한다. 지속 가능한 계약·후원 재원을 확인하지 못하면 확장을 멈춘다.</w:t>
            </w:r>
          </w:p>
        </w:tc>
      </w:tr>
      <w:tr>
        <w:tc>
          <w:tcPr>
            <w:tcW w:type="dxa" w:w="2924"/>
            <w:tcMar>
              <w:top w:w="80" w:type="dxa"/>
              <w:bottom w:w="80" w:type="dxa"/>
              <w:start w:w="120" w:type="dxa"/>
              <w:end w:w="120" w:type="dxa"/>
            </w:tcMar>
            <w:vAlign w:val="center"/>
          </w:tcPr>
          <w:p>
            <w:pPr>
              <w:pStyle w:val="MODUATableText"/>
            </w:pPr>
            <w:r>
              <w:rPr>
                <w:b w:val="0"/>
                <w:i w:val="0"/>
              </w:rPr>
              <w:t>조건부 토큰</w:t>
            </w:r>
          </w:p>
        </w:tc>
        <w:tc>
          <w:tcPr>
            <w:tcW w:type="dxa" w:w="6821"/>
            <w:tcMar>
              <w:top w:w="80" w:type="dxa"/>
              <w:bottom w:w="80" w:type="dxa"/>
              <w:start w:w="120" w:type="dxa"/>
              <w:end w:w="120" w:type="dxa"/>
            </w:tcMar>
            <w:vAlign w:val="center"/>
          </w:tcPr>
          <w:p>
            <w:pPr>
              <w:pStyle w:val="MODUATableText"/>
            </w:pPr>
            <w:r>
              <w:rPr>
                <w:b w:val="0"/>
                <w:i w:val="0"/>
              </w:rPr>
              <w:t>법률·세무·회계, 실제 서비스 수요, 스마트계약 보안감사, 이용자 보호체계 중 하나라도 미충족이면 발행하지 않는다. 공급량은 회계 상한일 뿐 판매·상장·상환·수익률·가격·가치 약속이 아니다.</w:t>
            </w:r>
          </w:p>
        </w:tc>
      </w:tr>
    </w:tbl>
    <w:p>
      <w:pPr>
        <w:spacing w:after="40"/>
      </w:pPr>
    </w:p>
    <w:p>
      <w:r>
        <w:rPr>
          <w:b w:val="0"/>
          <w:i w:val="0"/>
        </w:rPr>
        <w:t>HEFI 자료는 서비스 아이디어를 검토한 참고자료일 뿐이며 MODUA와 상속 관계가 없다. 아래 HEFI 요소는 MODUA가 상속하지 않는다.</w:t>
      </w:r>
    </w:p>
    <w:p>
      <w:pPr>
        <w:pStyle w:val="MODUABullet"/>
        <w:numPr>
          <w:ilvl w:val="0"/>
          <w:numId w:val="36"/>
        </w:numPr>
      </w:pPr>
      <w:r>
        <w:rPr>
          <w:b w:val="0"/>
          <w:i w:val="0"/>
        </w:rPr>
        <w:t>HEFI 명칭·로고·토큰명과 기존 계약·계약 주소</w:t>
      </w:r>
    </w:p>
    <w:p>
      <w:pPr>
        <w:pStyle w:val="MODUABullet"/>
        <w:numPr>
          <w:ilvl w:val="0"/>
          <w:numId w:val="36"/>
        </w:numPr>
      </w:pPr>
      <w:r>
        <w:rPr>
          <w:b w:val="0"/>
          <w:i w:val="0"/>
        </w:rPr>
        <w:t>기존 사업 파트너와 협력관계</w:t>
      </w:r>
    </w:p>
    <w:p>
      <w:pPr>
        <w:pStyle w:val="MODUABullet"/>
        <w:numPr>
          <w:ilvl w:val="0"/>
          <w:numId w:val="36"/>
        </w:numPr>
      </w:pPr>
      <w:r>
        <w:rPr>
          <w:b w:val="0"/>
          <w:i w:val="0"/>
        </w:rPr>
        <w:t>기존 체인 선택·발행량·배분표·토큰 경제</w:t>
      </w:r>
    </w:p>
    <w:p>
      <w:pPr>
        <w:pStyle w:val="MODUABullet"/>
        <w:numPr>
          <w:ilvl w:val="0"/>
          <w:numId w:val="36"/>
        </w:numPr>
      </w:pPr>
      <w:r>
        <w:rPr>
          <w:b w:val="0"/>
          <w:i w:val="0"/>
        </w:rPr>
        <w:t>AI Care NFT, Grade NFT와 토큰 보유량 중심 등급·거버넌스</w:t>
      </w:r>
    </w:p>
    <w:p>
      <w:pPr>
        <w:pStyle w:val="MODUABullet"/>
        <w:numPr>
          <w:ilvl w:val="0"/>
          <w:numId w:val="36"/>
        </w:numPr>
      </w:pPr>
      <w:r>
        <w:rPr>
          <w:b w:val="0"/>
          <w:i w:val="0"/>
        </w:rPr>
        <w:t>기존 재무전망·로드맵·사업성과·기술성능 주장</w:t>
      </w:r>
    </w:p>
    <w:p>
      <w:pPr>
        <w:pStyle w:val="MODUABullet"/>
        <w:numPr>
          <w:ilvl w:val="0"/>
          <w:numId w:val="36"/>
        </w:numPr>
      </w:pPr>
      <w:r>
        <w:rPr>
          <w:b w:val="0"/>
          <w:i w:val="0"/>
        </w:rPr>
        <w:t>검증되지 않은 의료·헬스케어 효능과 진단·응급판정·의료행위 주장</w:t>
      </w:r>
    </w:p>
    <w:p>
      <w:r>
        <w:rPr>
          <w:b w:val="0"/>
          <w:i w:val="0"/>
        </w:rPr>
        <w:t>MODUA의 수치, 계약, 파트너, 기술 선택과 성과는 MODUA의 승인된 설계와 새 검증에서 각각 확인한다. HEFI 문서의 서로 다른 체인·발행량 표현을 MODUA의 근거로 옮기지 않는다.</w:t>
      </w:r>
    </w:p>
    <w:p>
      <w:r>
        <w:rPr>
          <w:b w:val="0"/>
          <w:i w:val="0"/>
        </w:rPr>
        <w:t>이 백서는 MODUA의 검토 단계 설계를 설명한다. 법률의견서, 투자설명서, 의료기기 허가, 진단·치료 서비스 또는 수익·가격·가치 보장이 아니다. 실제 기능은 관련 계약, 법률·세무·회계, 보안, 개인정보, 의료, 접근성 검토와 단계별 통과 조건에 따라 축소·연기·제외될 수 있다.</w:t>
      </w:r>
    </w:p>
    <w:p>
      <w:pPr>
        <w:pStyle w:val="Heading2"/>
      </w:pPr>
      <w:r>
        <w:rPr>
          <w:b w:val="0"/>
          <w:i w:val="0"/>
        </w:rPr>
        <w:t>19. 참고자료</w:t>
      </w:r>
    </w:p>
    <w:p>
      <w:r>
        <w:rPr>
          <w:b w:val="0"/>
          <w:i w:val="0"/>
        </w:rPr>
        <w:t xml:space="preserve">아래 목록은 </w:t>
      </w:r>
      <w:r>
        <w:rPr>
          <w:rFonts w:ascii="Noto Sans KR" w:hAnsi="Noto Sans KR" w:eastAsia="Noto Sans KR"/>
          <w:b w:val="0"/>
          <w:i w:val="0"/>
          <w:sz w:val="21"/>
        </w:rPr>
        <w:t>sources.json</w:t>
      </w:r>
      <w:r>
        <w:rPr>
          <w:b w:val="0"/>
          <w:i w:val="0"/>
        </w:rPr>
        <w:t>에 등록된 자료를 그대로 표시한다. 본문에서 외부 사실을 인용한 문장만 주장 식별자와 출처 식별자를 함께 표시하며, MODUA의 설계 결정에는 외부 자료를 근거인 것처럼 붙이지 않는다. 이 장에서는 출처 식별자가 인용 표지로 오해되지 않도록 대괄호를 쓰지 않는다.</w:t>
      </w:r>
    </w:p>
    <w:p>
      <w:pPr>
        <w:pStyle w:val="Heading3"/>
      </w:pPr>
      <w:r>
        <w:rPr>
          <w:b w:val="0"/>
          <w:i w:val="0"/>
        </w:rPr>
        <w:t>시장·접근성</w:t>
      </w:r>
    </w:p>
    <w:p>
      <w:pPr>
        <w:pStyle w:val="MODUABullet"/>
        <w:numPr>
          <w:ilvl w:val="0"/>
          <w:numId w:val="37"/>
        </w:numPr>
      </w:pPr>
      <w:r>
        <w:rPr>
          <w:b w:val="0"/>
          <w:i w:val="0"/>
        </w:rPr>
        <w:t>S-KOSTAT-2024 — 통계청, 「2024 인구주택총조사 등록센서스 결과」 — https://kostat.go.kr/boardDownload.es?bid=203&amp;list_no=437767&amp;seq=3</w:t>
      </w:r>
    </w:p>
    <w:p>
      <w:pPr>
        <w:pStyle w:val="MODUABullet"/>
        <w:numPr>
          <w:ilvl w:val="0"/>
          <w:numId w:val="37"/>
        </w:numPr>
      </w:pPr>
      <w:r>
        <w:rPr>
          <w:b w:val="0"/>
          <w:i w:val="0"/>
        </w:rPr>
        <w:t>S-NRC-DISABILITY-2024 — 보건복지부·국립재활원, 「2024년도 등록장애인 현황」 — https://www.nrc.go.kr/portal/board/boardView.do?bn=qnaView&amp;board_id=NRC_NOTICE_BOARD&amp;fno=39&amp;menu_cd=09_01_00_11&amp;no=23285</w:t>
      </w:r>
    </w:p>
    <w:p>
      <w:pPr>
        <w:pStyle w:val="Heading3"/>
      </w:pPr>
      <w:r>
        <w:rPr>
          <w:b w:val="0"/>
          <w:i w:val="0"/>
        </w:rPr>
        <w:t>AI·웨어러블</w:t>
      </w:r>
    </w:p>
    <w:p>
      <w:pPr>
        <w:pStyle w:val="MODUABullet"/>
        <w:numPr>
          <w:ilvl w:val="0"/>
          <w:numId w:val="38"/>
        </w:numPr>
      </w:pPr>
      <w:r>
        <w:rPr>
          <w:b w:val="0"/>
          <w:i w:val="0"/>
        </w:rPr>
        <w:t>S-SAMSUNG-DATA-SDK — Samsung Developer, 「Samsung Health Data SDK」 — https://developer.samsung.com/health/data/overview.html</w:t>
      </w:r>
    </w:p>
    <w:p>
      <w:pPr>
        <w:pStyle w:val="MODUABullet"/>
        <w:numPr>
          <w:ilvl w:val="0"/>
          <w:numId w:val="38"/>
        </w:numPr>
      </w:pPr>
      <w:r>
        <w:rPr>
          <w:b w:val="0"/>
          <w:i w:val="0"/>
        </w:rPr>
        <w:t>S-SAMSUNG-SENSOR-SDK — Samsung Developer, 「Samsung Health Sensor SDK」 — https://developer.samsung.com/health/sensor/overview.html</w:t>
      </w:r>
    </w:p>
    <w:p>
      <w:pPr>
        <w:pStyle w:val="MODUABullet"/>
        <w:numPr>
          <w:ilvl w:val="0"/>
          <w:numId w:val="38"/>
        </w:numPr>
      </w:pPr>
      <w:r>
        <w:rPr>
          <w:b w:val="0"/>
          <w:i w:val="0"/>
        </w:rPr>
        <w:t>S-SAMSUNG-WATCH-PAY — Samsung Newsroom, 「How to Pay Using Samsung Wallet on Galaxy Watch」 — https://news.samsung.com/us/samsung-how-pay-with-galaxy-watch/</w:t>
      </w:r>
    </w:p>
    <w:p>
      <w:pPr>
        <w:pStyle w:val="Heading3"/>
      </w:pPr>
      <w:r>
        <w:rPr>
          <w:b w:val="0"/>
          <w:i w:val="0"/>
        </w:rPr>
        <w:t>의료정보 교류</w:t>
      </w:r>
    </w:p>
    <w:p>
      <w:pPr>
        <w:pStyle w:val="MODUABullet"/>
        <w:numPr>
          <w:ilvl w:val="0"/>
          <w:numId w:val="39"/>
        </w:numPr>
      </w:pPr>
      <w:r>
        <w:rPr>
          <w:b w:val="0"/>
          <w:i w:val="0"/>
        </w:rPr>
        <w:t>S-MOHW-MYHEALTHWAY — 보건복지부, 「건강정보 고속도로 본격 가동」 — https://www.mohw.go.kr/board.es?act=view&amp;bid=0027&amp;cg_code=&amp;list_no=378308&amp;mid=a10503010300&amp;tag=</w:t>
      </w:r>
    </w:p>
    <w:p>
      <w:pPr>
        <w:pStyle w:val="MODUABullet"/>
        <w:numPr>
          <w:ilvl w:val="0"/>
          <w:numId w:val="39"/>
        </w:numPr>
      </w:pPr>
      <w:r>
        <w:rPr>
          <w:b w:val="0"/>
          <w:i w:val="0"/>
        </w:rPr>
        <w:t>S-KRCORE-V2 — HL7 Korea, 「KR Core Implementation Guide v2.0.0」 — https://www.hl7korea.or.kr/fhir/krcore/STU2/</w:t>
      </w:r>
    </w:p>
    <w:p>
      <w:pPr>
        <w:pStyle w:val="Heading3"/>
      </w:pPr>
      <w:r>
        <w:rPr>
          <w:b w:val="0"/>
          <w:i w:val="0"/>
        </w:rPr>
        <w:t>가상자산 사업자 경계</w:t>
      </w:r>
    </w:p>
    <w:p>
      <w:pPr>
        <w:pStyle w:val="MODUABullet"/>
        <w:numPr>
          <w:ilvl w:val="0"/>
          <w:numId w:val="40"/>
        </w:numPr>
      </w:pPr>
      <w:r>
        <w:rPr>
          <w:b w:val="0"/>
          <w:i w:val="0"/>
        </w:rPr>
        <w:t>S-FSC-VASP-2026 — 금융위원회, 「미신고 가상자산사업자 이용 경고」 — https://www.fsc.go.kr/po010103/87177</w:t>
      </w:r>
    </w:p>
    <w:p>
      <w:pPr>
        <w:pStyle w:val="Heading3"/>
      </w:pPr>
      <w:r>
        <w:rPr>
          <w:b w:val="0"/>
          <w:i w:val="0"/>
        </w:rPr>
        <w:t>HEFI 참고 원문</w:t>
      </w:r>
    </w:p>
    <w:p>
      <w:pPr>
        <w:pStyle w:val="MODUABullet"/>
        <w:numPr>
          <w:ilvl w:val="0"/>
          <w:numId w:val="41"/>
        </w:numPr>
      </w:pPr>
      <w:r>
        <w:rPr>
          <w:b w:val="0"/>
          <w:i w:val="0"/>
        </w:rPr>
        <w:t>S-HEFI-KO-REF — HEFI reference file, 「HEFI 한국어 백서」 — ../hefi/docs/whitepaper/240503_HeFi_백서_한글★.pdf</w:t>
      </w:r>
    </w:p>
    <w:p>
      <w:pPr>
        <w:pStyle w:val="MODUABullet"/>
        <w:numPr>
          <w:ilvl w:val="0"/>
          <w:numId w:val="41"/>
        </w:numPr>
      </w:pPr>
      <w:r>
        <w:rPr>
          <w:b w:val="0"/>
          <w:i w:val="0"/>
        </w:rPr>
        <w:t>S-HEFI-EN-REF — HEFI reference file, 「HEFI English White Paper」 — ../hefi/docs/whitepaper/HeFi White Paper(ENG) 20230711_purple.docx</w:t>
      </w:r>
    </w:p>
    <w:sectPr w:rsidR="00FC693F" w:rsidRPr="0006063C" w:rsidSect="00034616">
      <w:headerReference w:type="first" r:id="rId9"/>
      <w:footerReference w:type="first" r:id="rId10"/>
      <w:headerReference w:type="default" r:id="rId11"/>
      <w:footerReference w:type="default" r:id="rId12"/>
      <w:pgSz w:w="11906" w:h="16838"/>
      <w:pgMar w:top="1134" w:right="1020" w:bottom="1247" w:left="102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C6874"/>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Noto Sans KR"/>
        <w:color w:val="5C6874"/>
        <w:sz w:val="17"/>
      </w:rPr>
      <w:t>MODUA WHITEPAPER · KOREAN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lvl>
  </w:abstractNum>
  <w:num w:numId="10">
    <w:abstractNumId w:val="9"/>
  </w:num>
  <w:abstractNum w:abstractNumId="10">
    <w:multiLevelType w:val="singleLevel"/>
    <w:lvl w:ilvl="0">
      <w:start w:val="1"/>
      <w:numFmt w:val="decimal"/>
      <w:lvlText w:val="%1."/>
      <w:suff w:val="tab"/>
      <w:pPr>
        <w:tabs>
          <w:tab w:val="num" w:pos="540"/>
        </w:tabs>
        <w:ind w:left="540" w:hanging="279"/>
      </w:pPr>
    </w:lvl>
  </w:abstractNum>
  <w:num w:numId="11">
    <w:abstractNumId w:val="10"/>
  </w:num>
  <w:abstractNum w:abstractNumId="11">
    <w:multiLevelType w:val="singleLevel"/>
    <w:lvl w:ilvl="0">
      <w:start w:val="1"/>
      <w:numFmt w:val="bullet"/>
      <w:lvlText w:val="•"/>
      <w:suff w:val="tab"/>
      <w:pPr>
        <w:tabs>
          <w:tab w:val="num" w:pos="540"/>
        </w:tabs>
        <w:ind w:left="540" w:hanging="279"/>
      </w:pPr>
    </w:lvl>
  </w:abstractNum>
  <w:num w:numId="12">
    <w:abstractNumId w:val="11"/>
  </w:num>
  <w:abstractNum w:abstractNumId="12">
    <w:multiLevelType w:val="singleLevel"/>
    <w:lvl w:ilvl="0">
      <w:start w:val="1"/>
      <w:numFmt w:val="bullet"/>
      <w:lvlText w:val="•"/>
      <w:suff w:val="tab"/>
      <w:pPr>
        <w:tabs>
          <w:tab w:val="num" w:pos="540"/>
        </w:tabs>
        <w:ind w:left="540" w:hanging="279"/>
      </w:pPr>
    </w:lvl>
  </w:abstractNum>
  <w:num w:numId="13">
    <w:abstractNumId w:val="12"/>
  </w:num>
  <w:abstractNum w:abstractNumId="13">
    <w:multiLevelType w:val="singleLevel"/>
    <w:lvl w:ilvl="0">
      <w:start w:val="1"/>
      <w:numFmt w:val="bullet"/>
      <w:lvlText w:val="•"/>
      <w:suff w:val="tab"/>
      <w:pPr>
        <w:tabs>
          <w:tab w:val="num" w:pos="540"/>
        </w:tabs>
        <w:ind w:left="540" w:hanging="279"/>
      </w:pPr>
    </w:lvl>
  </w:abstractNum>
  <w:num w:numId="14">
    <w:abstractNumId w:val="13"/>
  </w:num>
  <w:abstractNum w:abstractNumId="14">
    <w:multiLevelType w:val="singleLevel"/>
    <w:lvl w:ilvl="0">
      <w:start w:val="1"/>
      <w:numFmt w:val="bullet"/>
      <w:lvlText w:val="•"/>
      <w:suff w:val="tab"/>
      <w:pPr>
        <w:tabs>
          <w:tab w:val="num" w:pos="540"/>
        </w:tabs>
        <w:ind w:left="540" w:hanging="279"/>
      </w:pPr>
    </w:lvl>
  </w:abstractNum>
  <w:num w:numId="15">
    <w:abstractNumId w:val="14"/>
  </w:num>
  <w:abstractNum w:abstractNumId="15">
    <w:multiLevelType w:val="singleLevel"/>
    <w:lvl w:ilvl="0">
      <w:start w:val="1"/>
      <w:numFmt w:val="bullet"/>
      <w:lvlText w:val="•"/>
      <w:suff w:val="tab"/>
      <w:pPr>
        <w:tabs>
          <w:tab w:val="num" w:pos="540"/>
        </w:tabs>
        <w:ind w:left="540" w:hanging="279"/>
      </w:pPr>
    </w:lvl>
  </w:abstractNum>
  <w:num w:numId="16">
    <w:abstractNumId w:val="15"/>
  </w:num>
  <w:abstractNum w:abstractNumId="16">
    <w:multiLevelType w:val="singleLevel"/>
    <w:lvl w:ilvl="0">
      <w:start w:val="1"/>
      <w:numFmt w:val="bullet"/>
      <w:lvlText w:val="•"/>
      <w:suff w:val="tab"/>
      <w:pPr>
        <w:tabs>
          <w:tab w:val="num" w:pos="540"/>
        </w:tabs>
        <w:ind w:left="540" w:hanging="279"/>
      </w:pPr>
    </w:lvl>
  </w:abstractNum>
  <w:num w:numId="17">
    <w:abstractNumId w:val="16"/>
  </w:num>
  <w:abstractNum w:abstractNumId="17">
    <w:multiLevelType w:val="singleLevel"/>
    <w:lvl w:ilvl="0">
      <w:start w:val="1"/>
      <w:numFmt w:val="decimal"/>
      <w:lvlText w:val="%1."/>
      <w:suff w:val="tab"/>
      <w:pPr>
        <w:tabs>
          <w:tab w:val="num" w:pos="540"/>
        </w:tabs>
        <w:ind w:left="540" w:hanging="279"/>
      </w:pPr>
    </w:lvl>
  </w:abstractNum>
  <w:num w:numId="18">
    <w:abstractNumId w:val="17"/>
  </w:num>
  <w:abstractNum w:abstractNumId="18">
    <w:multiLevelType w:val="singleLevel"/>
    <w:lvl w:ilvl="0">
      <w:start w:val="1"/>
      <w:numFmt w:val="decimal"/>
      <w:lvlText w:val="%1."/>
      <w:suff w:val="tab"/>
      <w:pPr>
        <w:tabs>
          <w:tab w:val="num" w:pos="540"/>
        </w:tabs>
        <w:ind w:left="540" w:hanging="279"/>
      </w:pPr>
    </w:lvl>
  </w:abstractNum>
  <w:num w:numId="19">
    <w:abstractNumId w:val="18"/>
  </w:num>
  <w:abstractNum w:abstractNumId="19">
    <w:multiLevelType w:val="singleLevel"/>
    <w:lvl w:ilvl="0">
      <w:start w:val="1"/>
      <w:numFmt w:val="decimal"/>
      <w:lvlText w:val="%1."/>
      <w:suff w:val="tab"/>
      <w:pPr>
        <w:tabs>
          <w:tab w:val="num" w:pos="540"/>
        </w:tabs>
        <w:ind w:left="540" w:hanging="279"/>
      </w:pPr>
    </w:lvl>
  </w:abstractNum>
  <w:num w:numId="20">
    <w:abstractNumId w:val="19"/>
  </w:num>
  <w:abstractNum w:abstractNumId="20">
    <w:multiLevelType w:val="singleLevel"/>
    <w:lvl w:ilvl="0">
      <w:start w:val="1"/>
      <w:numFmt w:val="decimal"/>
      <w:lvlText w:val="%1."/>
      <w:suff w:val="tab"/>
      <w:pPr>
        <w:tabs>
          <w:tab w:val="num" w:pos="540"/>
        </w:tabs>
        <w:ind w:left="540" w:hanging="279"/>
      </w:pPr>
    </w:lvl>
  </w:abstractNum>
  <w:num w:numId="21">
    <w:abstractNumId w:val="20"/>
  </w:num>
  <w:abstractNum w:abstractNumId="21">
    <w:multiLevelType w:val="singleLevel"/>
    <w:lvl w:ilvl="0">
      <w:start w:val="1"/>
      <w:numFmt w:val="decimal"/>
      <w:lvlText w:val="%1."/>
      <w:suff w:val="tab"/>
      <w:pPr>
        <w:tabs>
          <w:tab w:val="num" w:pos="540"/>
        </w:tabs>
        <w:ind w:left="540" w:hanging="279"/>
      </w:pPr>
    </w:lvl>
  </w:abstractNum>
  <w:num w:numId="22">
    <w:abstractNumId w:val="21"/>
  </w:num>
  <w:abstractNum w:abstractNumId="22">
    <w:multiLevelType w:val="singleLevel"/>
    <w:lvl w:ilvl="0">
      <w:start w:val="1"/>
      <w:numFmt w:val="decimal"/>
      <w:lvlText w:val="%1."/>
      <w:suff w:val="tab"/>
      <w:pPr>
        <w:tabs>
          <w:tab w:val="num" w:pos="540"/>
        </w:tabs>
        <w:ind w:left="540" w:hanging="279"/>
      </w:pPr>
    </w:lvl>
  </w:abstractNum>
  <w:num w:numId="23">
    <w:abstractNumId w:val="22"/>
  </w:num>
  <w:abstractNum w:abstractNumId="23">
    <w:multiLevelType w:val="singleLevel"/>
    <w:lvl w:ilvl="0">
      <w:start w:val="1"/>
      <w:numFmt w:val="decimal"/>
      <w:lvlText w:val="%1."/>
      <w:suff w:val="tab"/>
      <w:pPr>
        <w:tabs>
          <w:tab w:val="num" w:pos="540"/>
        </w:tabs>
        <w:ind w:left="540" w:hanging="279"/>
      </w:pPr>
    </w:lvl>
  </w:abstractNum>
  <w:num w:numId="24">
    <w:abstractNumId w:val="23"/>
  </w:num>
  <w:abstractNum w:abstractNumId="24">
    <w:multiLevelType w:val="singleLevel"/>
    <w:lvl w:ilvl="0">
      <w:start w:val="1"/>
      <w:numFmt w:val="decimal"/>
      <w:lvlText w:val="%1."/>
      <w:suff w:val="tab"/>
      <w:pPr>
        <w:tabs>
          <w:tab w:val="num" w:pos="540"/>
        </w:tabs>
        <w:ind w:left="540" w:hanging="279"/>
      </w:pPr>
    </w:lvl>
  </w:abstractNum>
  <w:num w:numId="25">
    <w:abstractNumId w:val="24"/>
  </w:num>
  <w:abstractNum w:abstractNumId="25">
    <w:multiLevelType w:val="singleLevel"/>
    <w:lvl w:ilvl="0">
      <w:start w:val="1"/>
      <w:numFmt w:val="bullet"/>
      <w:lvlText w:val="•"/>
      <w:suff w:val="tab"/>
      <w:pPr>
        <w:tabs>
          <w:tab w:val="num" w:pos="540"/>
        </w:tabs>
        <w:ind w:left="540" w:hanging="279"/>
      </w:pPr>
    </w:lvl>
  </w:abstractNum>
  <w:num w:numId="26">
    <w:abstractNumId w:val="25"/>
  </w:num>
  <w:abstractNum w:abstractNumId="26">
    <w:multiLevelType w:val="singleLevel"/>
    <w:lvl w:ilvl="0">
      <w:start w:val="1"/>
      <w:numFmt w:val="decimal"/>
      <w:lvlText w:val="%1."/>
      <w:suff w:val="tab"/>
      <w:pPr>
        <w:tabs>
          <w:tab w:val="num" w:pos="540"/>
        </w:tabs>
        <w:ind w:left="540" w:hanging="279"/>
      </w:pPr>
    </w:lvl>
  </w:abstractNum>
  <w:num w:numId="27">
    <w:abstractNumId w:val="26"/>
  </w:num>
  <w:abstractNum w:abstractNumId="27">
    <w:multiLevelType w:val="singleLevel"/>
    <w:lvl w:ilvl="0">
      <w:start w:val="1"/>
      <w:numFmt w:val="decimal"/>
      <w:lvlText w:val="%1."/>
      <w:suff w:val="tab"/>
      <w:pPr>
        <w:tabs>
          <w:tab w:val="num" w:pos="540"/>
        </w:tabs>
        <w:ind w:left="540" w:hanging="279"/>
      </w:pPr>
    </w:lvl>
  </w:abstractNum>
  <w:num w:numId="28">
    <w:abstractNumId w:val="27"/>
  </w:num>
  <w:abstractNum w:abstractNumId="28">
    <w:multiLevelType w:val="singleLevel"/>
    <w:lvl w:ilvl="0">
      <w:start w:val="1"/>
      <w:numFmt w:val="bullet"/>
      <w:lvlText w:val="•"/>
      <w:suff w:val="tab"/>
      <w:pPr>
        <w:tabs>
          <w:tab w:val="num" w:pos="540"/>
        </w:tabs>
        <w:ind w:left="540" w:hanging="279"/>
      </w:pPr>
    </w:lvl>
  </w:abstractNum>
  <w:num w:numId="29">
    <w:abstractNumId w:val="28"/>
  </w:num>
  <w:abstractNum w:abstractNumId="29">
    <w:multiLevelType w:val="singleLevel"/>
    <w:lvl w:ilvl="0">
      <w:start w:val="1"/>
      <w:numFmt w:val="bullet"/>
      <w:lvlText w:val="•"/>
      <w:suff w:val="tab"/>
      <w:pPr>
        <w:tabs>
          <w:tab w:val="num" w:pos="540"/>
        </w:tabs>
        <w:ind w:left="540" w:hanging="279"/>
      </w:pPr>
    </w:lvl>
  </w:abstractNum>
  <w:num w:numId="30">
    <w:abstractNumId w:val="29"/>
  </w:num>
  <w:abstractNum w:abstractNumId="30">
    <w:multiLevelType w:val="singleLevel"/>
    <w:lvl w:ilvl="0">
      <w:start w:val="1"/>
      <w:numFmt w:val="bullet"/>
      <w:lvlText w:val="•"/>
      <w:suff w:val="tab"/>
      <w:pPr>
        <w:tabs>
          <w:tab w:val="num" w:pos="540"/>
        </w:tabs>
        <w:ind w:left="540" w:hanging="279"/>
      </w:pPr>
    </w:lvl>
  </w:abstractNum>
  <w:num w:numId="31">
    <w:abstractNumId w:val="30"/>
  </w:num>
  <w:abstractNum w:abstractNumId="31">
    <w:multiLevelType w:val="singleLevel"/>
    <w:lvl w:ilvl="0">
      <w:start w:val="1"/>
      <w:numFmt w:val="bullet"/>
      <w:lvlText w:val="•"/>
      <w:suff w:val="tab"/>
      <w:pPr>
        <w:tabs>
          <w:tab w:val="num" w:pos="540"/>
        </w:tabs>
        <w:ind w:left="540" w:hanging="279"/>
      </w:pPr>
    </w:lvl>
  </w:abstractNum>
  <w:num w:numId="32">
    <w:abstractNumId w:val="31"/>
  </w:num>
  <w:abstractNum w:abstractNumId="32">
    <w:multiLevelType w:val="singleLevel"/>
    <w:lvl w:ilvl="0">
      <w:start w:val="1"/>
      <w:numFmt w:val="bullet"/>
      <w:lvlText w:val="•"/>
      <w:suff w:val="tab"/>
      <w:pPr>
        <w:tabs>
          <w:tab w:val="num" w:pos="540"/>
        </w:tabs>
        <w:ind w:left="540" w:hanging="279"/>
      </w:pPr>
    </w:lvl>
  </w:abstractNum>
  <w:num w:numId="33">
    <w:abstractNumId w:val="32"/>
  </w:num>
  <w:abstractNum w:abstractNumId="33">
    <w:multiLevelType w:val="singleLevel"/>
    <w:lvl w:ilvl="0">
      <w:start w:val="1"/>
      <w:numFmt w:val="bullet"/>
      <w:lvlText w:val="•"/>
      <w:suff w:val="tab"/>
      <w:pPr>
        <w:tabs>
          <w:tab w:val="num" w:pos="540"/>
        </w:tabs>
        <w:ind w:left="540" w:hanging="279"/>
      </w:pPr>
    </w:lvl>
  </w:abstractNum>
  <w:num w:numId="34">
    <w:abstractNumId w:val="33"/>
  </w:num>
  <w:abstractNum w:abstractNumId="34">
    <w:multiLevelType w:val="singleLevel"/>
    <w:lvl w:ilvl="0">
      <w:start w:val="1"/>
      <w:numFmt w:val="bullet"/>
      <w:lvlText w:val="•"/>
      <w:suff w:val="tab"/>
      <w:pPr>
        <w:tabs>
          <w:tab w:val="num" w:pos="540"/>
        </w:tabs>
        <w:ind w:left="540" w:hanging="279"/>
      </w:pPr>
    </w:lvl>
  </w:abstractNum>
  <w:num w:numId="35">
    <w:abstractNumId w:val="34"/>
  </w:num>
  <w:abstractNum w:abstractNumId="35">
    <w:multiLevelType w:val="singleLevel"/>
    <w:lvl w:ilvl="0">
      <w:start w:val="1"/>
      <w:numFmt w:val="bullet"/>
      <w:lvlText w:val="•"/>
      <w:suff w:val="tab"/>
      <w:pPr>
        <w:tabs>
          <w:tab w:val="num" w:pos="540"/>
        </w:tabs>
        <w:ind w:left="540" w:hanging="279"/>
      </w:pPr>
    </w:lvl>
  </w:abstractNum>
  <w:num w:numId="36">
    <w:abstractNumId w:val="35"/>
  </w:num>
  <w:abstractNum w:abstractNumId="36">
    <w:multiLevelType w:val="singleLevel"/>
    <w:lvl w:ilvl="0">
      <w:start w:val="1"/>
      <w:numFmt w:val="bullet"/>
      <w:lvlText w:val="•"/>
      <w:suff w:val="tab"/>
      <w:pPr>
        <w:tabs>
          <w:tab w:val="num" w:pos="540"/>
        </w:tabs>
        <w:ind w:left="540" w:hanging="279"/>
      </w:pPr>
    </w:lvl>
  </w:abstractNum>
  <w:num w:numId="37">
    <w:abstractNumId w:val="36"/>
  </w:num>
  <w:abstractNum w:abstractNumId="37">
    <w:multiLevelType w:val="singleLevel"/>
    <w:lvl w:ilvl="0">
      <w:start w:val="1"/>
      <w:numFmt w:val="bullet"/>
      <w:lvlText w:val="•"/>
      <w:suff w:val="tab"/>
      <w:pPr>
        <w:tabs>
          <w:tab w:val="num" w:pos="540"/>
        </w:tabs>
        <w:ind w:left="540" w:hanging="279"/>
      </w:pPr>
    </w:lvl>
  </w:abstractNum>
  <w:num w:numId="38">
    <w:abstractNumId w:val="37"/>
  </w:num>
  <w:abstractNum w:abstractNumId="38">
    <w:multiLevelType w:val="singleLevel"/>
    <w:lvl w:ilvl="0">
      <w:start w:val="1"/>
      <w:numFmt w:val="bullet"/>
      <w:lvlText w:val="•"/>
      <w:suff w:val="tab"/>
      <w:pPr>
        <w:tabs>
          <w:tab w:val="num" w:pos="540"/>
        </w:tabs>
        <w:ind w:left="540" w:hanging="279"/>
      </w:pPr>
    </w:lvl>
  </w:abstractNum>
  <w:num w:numId="39">
    <w:abstractNumId w:val="38"/>
  </w:num>
  <w:abstractNum w:abstractNumId="39">
    <w:multiLevelType w:val="singleLevel"/>
    <w:lvl w:ilvl="0">
      <w:start w:val="1"/>
      <w:numFmt w:val="bullet"/>
      <w:lvlText w:val="•"/>
      <w:suff w:val="tab"/>
      <w:pPr>
        <w:tabs>
          <w:tab w:val="num" w:pos="540"/>
        </w:tabs>
        <w:ind w:left="540" w:hanging="279"/>
      </w:pPr>
    </w:lvl>
  </w:abstractNum>
  <w:num w:numId="40">
    <w:abstractNumId w:val="39"/>
  </w:num>
  <w:abstractNum w:abstractNumId="40">
    <w:multiLevelType w:val="singleLevel"/>
    <w:lvl w:ilvl="0">
      <w:start w:val="1"/>
      <w:numFmt w:val="bullet"/>
      <w:lvlText w:val="•"/>
      <w:suff w:val="tab"/>
      <w:pPr>
        <w:tabs>
          <w:tab w:val="num" w:pos="540"/>
        </w:tabs>
        <w:ind w:left="540" w:hanging="279"/>
      </w:pPr>
    </w:lvl>
  </w:abstract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Noto Sans KR" w:cs="Calibri"/>
      <w:color w:val="17171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Noto Sans KR"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Noto Sans KR"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Noto Sans KR"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320" w:lineRule="auto"/>
      <w:ind w:left="283" w:right="113"/>
    </w:pPr>
    <w:rPr>
      <w:rFonts w:ascii="Calibri" w:hAnsi="Calibri" w:eastAsia="Noto Sans KR" w:cs="Calibri"/>
      <w:i w:val="0"/>
      <w:iCs/>
      <w:color w:val="1F4D78"/>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ABullet">
    <w:name w:val="MODUA Bullet"/>
    <w:basedOn w:val="Normal"/>
    <w:pPr>
      <w:widowControl/>
      <w:spacing w:after="80" w:line="290" w:lineRule="auto"/>
      <w:ind w:left="540" w:hanging="279"/>
    </w:pPr>
    <w:rPr>
      <w:rFonts w:ascii="Calibri" w:hAnsi="Calibri" w:eastAsia="Noto Sans KR" w:cs="Calibri"/>
      <w:color w:val="171717"/>
      <w:sz w:val="24"/>
    </w:rPr>
  </w:style>
  <w:style w:type="paragraph" w:customStyle="1" w:styleId="MODUANumber">
    <w:name w:val="MODUA Number"/>
    <w:basedOn w:val="Normal"/>
    <w:pPr>
      <w:widowControl/>
      <w:spacing w:after="80" w:line="290" w:lineRule="auto"/>
      <w:ind w:left="540" w:hanging="279"/>
    </w:pPr>
    <w:rPr>
      <w:rFonts w:ascii="Calibri" w:hAnsi="Calibri" w:eastAsia="Noto Sans KR" w:cs="Calibri"/>
      <w:color w:val="171717"/>
      <w:sz w:val="24"/>
    </w:rPr>
  </w:style>
  <w:style w:type="paragraph" w:customStyle="1" w:styleId="MODUATableText">
    <w:name w:val="MODUA Table Text"/>
    <w:basedOn w:val="Normal"/>
    <w:pPr>
      <w:spacing w:before="0" w:after="0" w:line="276" w:lineRule="auto"/>
      <w:jc w:val="left"/>
    </w:pPr>
    <w:rPr>
      <w:rFonts w:ascii="Calibri" w:hAnsi="Calibri" w:eastAsia="Noto Sans KR" w:cs="Calibri"/>
      <w:color w:val="17171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MODUA Whitepaper</dc:title>
  <dc:subject>모두의 일상을 돕는 AI 생활자립·상호지원 생태계</dc:subject>
  <dc:creator>MODUA</dc:creator>
  <cp:keywords>MODUA, 접근성, 생활자립, 상호지원</cp:keywords>
  <dc:description>generated by python-docx</dc:description>
  <cp:lastModifiedBy/>
  <cp:revision>1</cp:revision>
  <dcterms:created xsi:type="dcterms:W3CDTF">2026-08-14T00:00:00Z</dcterms:created>
  <dcterms:modified xsi:type="dcterms:W3CDTF">2026-08-14T00:00:00Z</dcterms:modified>
  <cp:category/>
</cp:coreProperties>
</file>