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48B34">
      <w:pPr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>工作周报</w:t>
      </w:r>
    </w:p>
    <w:p w14:paraId="71AE1386">
      <w:pPr>
        <w:jc w:val="right"/>
        <w:rPr>
          <w:rFonts w:hint="default" w:eastAsia="宋体"/>
          <w:lang w:val="en-US" w:eastAsia="zh-CN"/>
        </w:rPr>
      </w:pPr>
      <w:r>
        <w:t>202</w:t>
      </w:r>
      <w:r>
        <w:rPr>
          <w:rFonts w:hint="eastAsia"/>
        </w:rPr>
        <w:t>6/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30</w:t>
      </w:r>
    </w:p>
    <w:tbl>
      <w:tblPr>
        <w:tblStyle w:val="6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2282"/>
        <w:gridCol w:w="1406"/>
        <w:gridCol w:w="3892"/>
      </w:tblGrid>
      <w:tr w14:paraId="3F42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A6529F">
            <w:pPr>
              <w:snapToGrid w:val="0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0" w:type="auto"/>
            <w:vAlign w:val="center"/>
          </w:tcPr>
          <w:p w14:paraId="29CF4F6B">
            <w:pPr>
              <w:snapToGrid w:val="0"/>
              <w:jc w:val="center"/>
            </w:pPr>
            <w:r>
              <w:rPr>
                <w:rFonts w:hint="eastAsia"/>
              </w:rPr>
              <w:t>林逸骏</w:t>
            </w:r>
          </w:p>
        </w:tc>
        <w:tc>
          <w:tcPr>
            <w:tcW w:w="1406" w:type="dxa"/>
            <w:vAlign w:val="center"/>
          </w:tcPr>
          <w:p w14:paraId="3B01D36C">
            <w:pPr>
              <w:snapToGrid w:val="0"/>
              <w:jc w:val="center"/>
            </w:pPr>
            <w:r>
              <w:rPr>
                <w:rFonts w:hint="eastAsia"/>
              </w:rPr>
              <w:t>工作</w:t>
            </w:r>
          </w:p>
          <w:p w14:paraId="4E426DDD">
            <w:pPr>
              <w:snapToGrid w:val="0"/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3892" w:type="dxa"/>
            <w:vAlign w:val="center"/>
          </w:tcPr>
          <w:p w14:paraId="636F7D74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t>2</w:t>
            </w:r>
            <w:r>
              <w:rPr>
                <w:rFonts w:hint="eastAsia"/>
              </w:rPr>
              <w:t>026/4/</w:t>
            </w:r>
            <w:r>
              <w:rPr>
                <w:rFonts w:hint="eastAsia"/>
                <w:lang w:val="en-US" w:eastAsia="zh-CN"/>
              </w:rPr>
              <w:t>27</w:t>
            </w:r>
            <w:r>
              <w:rPr>
                <w:rFonts w:hint="eastAsia"/>
              </w:rPr>
              <w:t>–2026/4/</w:t>
            </w:r>
            <w:r>
              <w:rPr>
                <w:rFonts w:hint="eastAsia"/>
                <w:lang w:val="en-US" w:eastAsia="zh-CN"/>
              </w:rPr>
              <w:t>30</w:t>
            </w:r>
          </w:p>
        </w:tc>
      </w:tr>
      <w:tr w14:paraId="72019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shd w:val="clear" w:color="auto" w:fill="D8D8D8" w:themeFill="background1" w:themeFillShade="D9"/>
          </w:tcPr>
          <w:p w14:paraId="640E408D">
            <w:pPr>
              <w:snapToGrid w:val="0"/>
            </w:pPr>
            <w:r>
              <w:rPr>
                <w:rFonts w:hint="eastAsia"/>
              </w:rPr>
              <w:t>本周完成工作：现阶段工作重点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23DC39EF">
            <w:pPr>
              <w:snapToGrid w:val="0"/>
              <w:jc w:val="center"/>
            </w:pPr>
            <w:r>
              <w:rPr>
                <w:rFonts w:hint="eastAsia"/>
              </w:rPr>
              <w:t>工作内容</w:t>
            </w:r>
          </w:p>
        </w:tc>
        <w:tc>
          <w:tcPr>
            <w:tcW w:w="5298" w:type="dxa"/>
            <w:gridSpan w:val="2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6D015A0A">
            <w:pPr>
              <w:widowControl/>
              <w:snapToGrid w:val="0"/>
              <w:jc w:val="center"/>
            </w:pPr>
            <w:r>
              <w:rPr>
                <w:rFonts w:hint="eastAsia"/>
              </w:rPr>
              <w:t>完成情况</w:t>
            </w:r>
          </w:p>
        </w:tc>
      </w:tr>
      <w:tr w14:paraId="30DA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D8D8D8" w:themeFill="background1" w:themeFillShade="D9"/>
          </w:tcPr>
          <w:p w14:paraId="39F1AE6D">
            <w:pPr>
              <w:snapToGrid w:val="0"/>
            </w:pPr>
          </w:p>
        </w:tc>
        <w:tc>
          <w:tcPr>
            <w:tcW w:w="0" w:type="auto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7E6D9A08">
            <w:pPr>
              <w:snapToGrid w:val="0"/>
            </w:pPr>
            <w:r>
              <w:rPr>
                <w:rFonts w:hint="eastAsia"/>
              </w:rPr>
              <w:t>1.探索利用大语言模型做烟草专家系统（烟草知识库</w:t>
            </w:r>
            <w:r>
              <w:rPr>
                <w:rFonts w:hint="eastAsia"/>
                <w:lang w:eastAsia="zh-CN"/>
              </w:rPr>
              <w:t>，参考</w:t>
            </w:r>
            <w:r>
              <w:rPr>
                <w:rFonts w:hint="eastAsia"/>
              </w:rPr>
              <w:t>凉山烤烟气象AI防灾减灾决策系统 建设方案）</w:t>
            </w:r>
          </w:p>
        </w:tc>
        <w:tc>
          <w:tcPr>
            <w:tcW w:w="5298" w:type="dxa"/>
            <w:gridSpan w:val="2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59A78310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.设计烟草专家系统知识库框架，初步划分烟草品种、栽培管理、气象灾害、病虫害防治、烘烤工艺、政策标准和专家经验等知识模块。</w:t>
            </w:r>
          </w:p>
          <w:p w14:paraId="51BC0440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.参考农业知识图谱和GraphRAG方案，设计烟草知识图谱思路，建立结构化关系。</w:t>
            </w:r>
          </w:p>
          <w:p w14:paraId="69F82AD3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.参考多模态病害识别方案，探索烟叶图片、病斑图片、气象数据和文本资料联合分析方向，为后续实现“图片识别+资料检索+专家建议”做准备。</w:t>
            </w:r>
          </w:p>
          <w:p w14:paraId="1E8A2BDD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.设计烟草专家系统</w:t>
            </w:r>
            <w:r>
              <w:rPr>
                <w:rFonts w:hint="eastAsia"/>
                <w:lang w:val="en-US" w:eastAsia="zh-CN"/>
              </w:rPr>
              <w:t>多</w:t>
            </w:r>
            <w:r>
              <w:rPr>
                <w:rFonts w:hint="eastAsia"/>
              </w:rPr>
              <w:t>智能体流程，包括资料采集智能体、知识入库智能体、问题理解智能体、检索问答智能体、风险判断智能体和答案校验智能体。</w:t>
            </w:r>
          </w:p>
          <w:p w14:paraId="6E2BA2F8">
            <w:pPr>
              <w:snapToGrid w:val="0"/>
              <w:jc w:val="left"/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.整理典型应用场景，包括低温冻害预警、连续阴雨风险判断、病虫害诊断、烘烤异常分析、种植管理建议和防灾减灾决策辅助。</w:t>
            </w:r>
          </w:p>
        </w:tc>
      </w:tr>
      <w:tr w14:paraId="02D0C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D8D8D8" w:themeFill="background1" w:themeFillShade="D9"/>
          </w:tcPr>
          <w:p w14:paraId="0F007DA9">
            <w:pPr>
              <w:snapToGrid w:val="0"/>
            </w:pPr>
          </w:p>
        </w:tc>
        <w:tc>
          <w:tcPr>
            <w:tcW w:w="0" w:type="auto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57C05072">
            <w:pPr>
              <w:snapToGrid w:val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  <w:lang w:eastAsia="zh-CN"/>
              </w:rPr>
              <w:t>按照徐老师要求</w:t>
            </w:r>
            <w:r>
              <w:rPr>
                <w:rFonts w:hint="eastAsia"/>
              </w:rPr>
              <w:t>探索利用LLM来调用地图，以语音输入，实现以展示为主的功能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5298" w:type="dxa"/>
            <w:gridSpan w:val="2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09D7C595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1.完成GIS Agent系统主流程搭建，实现用户通过前端输入地图分析需求后，进入智能体执行流程。</w:t>
            </w:r>
          </w:p>
          <w:p w14:paraId="7725F571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2.完成自然语言地图任务的Agent编排流程，将地图任务拆分为意图识别、执行计划生成、计划校验、GIS工具调用、结果解释和结果发布等步骤，使系统能够根据用户需求自动调用地图分析能力。</w:t>
            </w:r>
          </w:p>
          <w:p w14:paraId="725E90D2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3.完成GIS工具调用模块建设，接入图层加载、行政区边界加载、缓冲区分析、相交分析、裁剪分析、点落区分析、距离查询、GeoJSON结果导出等工具，为后续语音控制地图操作打基础。</w:t>
            </w:r>
          </w:p>
          <w:p w14:paraId="617D545F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4.完成PostGIS图层数据管理功能，支持内置图层初始化、用户上传GeoJSON/GPKG数据、图层注册、结果图层保存和空间分析结果入库。</w:t>
            </w:r>
          </w:p>
          <w:p w14:paraId="6E072B0F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5.完成前端地图工作台功能，使用React和MapLibre实现地图展示、底图切换、结果图层加载、结果高亮、地图定位、结果详情查看和GeoJSON下载等交互。</w:t>
            </w:r>
          </w:p>
          <w:p w14:paraId="2C6EA6D7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6.完成任务执行状态展示功能，前端能够通过事件流实时展示任务执行进度，包括意图解析、计划生成、工具执行、结果生成和任务完成状态。</w:t>
            </w:r>
          </w:p>
          <w:p w14:paraId="03640D84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.完成调试工作台功能，支持查看系统组件状态、模型Provider、图层目录、任务历史、运行事件、工具列表、工具参数和artifact元数据，便于后续演示和排查问题。</w:t>
            </w:r>
          </w:p>
          <w:p w14:paraId="010BABF0">
            <w:pPr>
              <w:snapToGrid w:val="0"/>
              <w:jc w:val="left"/>
            </w:pP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.完成部分接口和功能测试，覆盖自然语言意图解析、工具目录生成、空间分析、QGIS工具调用、结果发布、上传大小限制和artifact元数据回写等内容。</w:t>
            </w:r>
          </w:p>
        </w:tc>
      </w:tr>
      <w:tr w14:paraId="2D1E0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</w:tcPr>
          <w:p w14:paraId="7AA55A0D">
            <w:pPr>
              <w:snapToGrid w:val="0"/>
            </w:pPr>
            <w:r>
              <w:rPr>
                <w:rFonts w:hint="eastAsia"/>
              </w:rPr>
              <w:t>本周完成工作：领导交办的其他事务</w:t>
            </w:r>
          </w:p>
        </w:tc>
        <w:tc>
          <w:tcPr>
            <w:tcW w:w="7580" w:type="dxa"/>
            <w:gridSpan w:val="3"/>
            <w:tcBorders>
              <w:bottom w:val="dotted" w:color="auto" w:sz="4" w:space="0"/>
            </w:tcBorders>
            <w:vAlign w:val="bottom"/>
          </w:tcPr>
          <w:p w14:paraId="04C19172">
            <w:pPr>
              <w:snapToGrid w:val="0"/>
            </w:pPr>
            <w:r>
              <w:rPr>
                <w:rFonts w:hint="eastAsia"/>
              </w:rPr>
              <w:t>围绕归一化植被指数、增强型植被指数、归一化水分指数和裸土指数，对</w:t>
            </w:r>
            <w:r>
              <w:rPr>
                <w:rFonts w:hint="eastAsia"/>
                <w:lang w:val="en-US" w:eastAsia="zh-CN"/>
              </w:rPr>
              <w:t>某一特定</w:t>
            </w:r>
            <w:r>
              <w:rPr>
                <w:rFonts w:hint="eastAsia"/>
              </w:rPr>
              <w:t>研究区年度变化、生长季变化、月尺度波动、数据覆盖情况及异常月份进行了梳理分析，并</w:t>
            </w:r>
            <w:r>
              <w:rPr>
                <w:rFonts w:hint="eastAsia"/>
                <w:lang w:val="en-US" w:eastAsia="zh-CN"/>
              </w:rPr>
              <w:t>逐步完成</w:t>
            </w:r>
            <w:r>
              <w:rPr>
                <w:rFonts w:hint="eastAsia"/>
              </w:rPr>
              <w:t>中文分析报告。同步</w:t>
            </w:r>
            <w:r>
              <w:rPr>
                <w:rFonts w:hint="eastAsia"/>
                <w:lang w:val="en-US" w:eastAsia="zh-CN"/>
              </w:rPr>
              <w:t>进行</w:t>
            </w:r>
            <w:r>
              <w:rPr>
                <w:rFonts w:hint="eastAsia"/>
              </w:rPr>
              <w:t>制作年度趋势、月度物候、数据质量、关键月份变化、生态状态对比等配套图表。</w:t>
            </w:r>
          </w:p>
        </w:tc>
      </w:tr>
      <w:tr w14:paraId="45E41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70AA98AD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bottom"/>
          </w:tcPr>
          <w:p w14:paraId="3FBAF404">
            <w:pPr>
              <w:snapToGrid w:val="0"/>
            </w:pPr>
          </w:p>
        </w:tc>
      </w:tr>
      <w:tr w14:paraId="11AF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53160B86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bottom"/>
          </w:tcPr>
          <w:p w14:paraId="3678B83F">
            <w:pPr>
              <w:snapToGrid w:val="0"/>
            </w:pPr>
          </w:p>
        </w:tc>
      </w:tr>
      <w:tr w14:paraId="55E94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457399BC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bottom"/>
          </w:tcPr>
          <w:p w14:paraId="7978284E">
            <w:pPr>
              <w:snapToGrid w:val="0"/>
            </w:pPr>
          </w:p>
        </w:tc>
      </w:tr>
      <w:tr w14:paraId="6D7E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</w:tcPr>
          <w:p w14:paraId="27654C36">
            <w:pPr>
              <w:snapToGrid w:val="0"/>
            </w:pPr>
            <w:r>
              <w:rPr>
                <w:rFonts w:hint="eastAsia"/>
              </w:rPr>
              <w:t>问题与困难</w:t>
            </w:r>
          </w:p>
        </w:tc>
        <w:tc>
          <w:tcPr>
            <w:tcW w:w="0" w:type="auto"/>
          </w:tcPr>
          <w:p w14:paraId="7A9979CA">
            <w:pPr>
              <w:snapToGrid w:val="0"/>
              <w:jc w:val="center"/>
            </w:pPr>
            <w:r>
              <w:rPr>
                <w:rFonts w:hint="eastAsia"/>
              </w:rPr>
              <w:t>风险/问题</w:t>
            </w:r>
          </w:p>
        </w:tc>
        <w:tc>
          <w:tcPr>
            <w:tcW w:w="1406" w:type="dxa"/>
          </w:tcPr>
          <w:p w14:paraId="7510D7EA">
            <w:pPr>
              <w:snapToGrid w:val="0"/>
              <w:jc w:val="center"/>
            </w:pPr>
            <w:r>
              <w:rPr>
                <w:rFonts w:hint="eastAsia"/>
              </w:rPr>
              <w:t>解决措施</w:t>
            </w:r>
          </w:p>
        </w:tc>
        <w:tc>
          <w:tcPr>
            <w:tcW w:w="3892" w:type="dxa"/>
          </w:tcPr>
          <w:p w14:paraId="0BB57A1C">
            <w:pPr>
              <w:snapToGrid w:val="0"/>
              <w:jc w:val="center"/>
            </w:pPr>
            <w:r>
              <w:rPr>
                <w:rFonts w:hint="eastAsia"/>
              </w:rPr>
              <w:t>需要提供的帮助</w:t>
            </w:r>
          </w:p>
        </w:tc>
      </w:tr>
      <w:tr w14:paraId="074B7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7A39A477">
            <w:pPr>
              <w:snapToGrid w:val="0"/>
            </w:pPr>
          </w:p>
        </w:tc>
        <w:tc>
          <w:tcPr>
            <w:tcW w:w="0" w:type="auto"/>
          </w:tcPr>
          <w:p w14:paraId="7592D0FC">
            <w:pPr>
              <w:snapToGrid w:val="0"/>
            </w:pPr>
          </w:p>
        </w:tc>
        <w:tc>
          <w:tcPr>
            <w:tcW w:w="1406" w:type="dxa"/>
          </w:tcPr>
          <w:p w14:paraId="4A665CC6">
            <w:pPr>
              <w:snapToGrid w:val="0"/>
            </w:pPr>
          </w:p>
        </w:tc>
        <w:tc>
          <w:tcPr>
            <w:tcW w:w="3892" w:type="dxa"/>
          </w:tcPr>
          <w:p w14:paraId="222F821F">
            <w:pPr>
              <w:snapToGrid w:val="0"/>
            </w:pPr>
          </w:p>
        </w:tc>
      </w:tr>
      <w:tr w14:paraId="484E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shd w:val="clear" w:color="auto" w:fill="D8D8D8" w:themeFill="background1" w:themeFillShade="D9"/>
          </w:tcPr>
          <w:p w14:paraId="7CECCE08">
            <w:pPr>
              <w:snapToGrid w:val="0"/>
            </w:pPr>
            <w:r>
              <w:rPr>
                <w:rFonts w:hint="eastAsia"/>
              </w:rPr>
              <w:t>下周工作计划：</w:t>
            </w:r>
          </w:p>
          <w:p w14:paraId="076DF121">
            <w:pPr>
              <w:snapToGrid w:val="0"/>
            </w:pPr>
            <w:r>
              <w:rPr>
                <w:rFonts w:hint="eastAsia"/>
              </w:rPr>
              <w:t>现阶段工作重点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1AF8E7EE">
            <w:pPr>
              <w:snapToGrid w:val="0"/>
              <w:jc w:val="center"/>
            </w:pPr>
            <w:r>
              <w:rPr>
                <w:rFonts w:hint="eastAsia"/>
              </w:rPr>
              <w:t>工作内容</w:t>
            </w:r>
          </w:p>
        </w:tc>
        <w:tc>
          <w:tcPr>
            <w:tcW w:w="5298" w:type="dxa"/>
            <w:gridSpan w:val="2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558CC92B">
            <w:pPr>
              <w:snapToGrid w:val="0"/>
              <w:jc w:val="center"/>
            </w:pPr>
            <w:r>
              <w:rPr>
                <w:rFonts w:hint="eastAsia"/>
              </w:rPr>
              <w:t>计划完成</w:t>
            </w:r>
          </w:p>
        </w:tc>
      </w:tr>
      <w:tr w14:paraId="0742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D8D8D8" w:themeFill="background1" w:themeFillShade="D9"/>
          </w:tcPr>
          <w:p w14:paraId="423B0AB4">
            <w:pPr>
              <w:snapToGrid w:val="0"/>
            </w:pPr>
          </w:p>
        </w:tc>
        <w:tc>
          <w:tcPr>
            <w:tcW w:w="0" w:type="auto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297C7CBB">
            <w:pPr>
              <w:snapToGrid w:val="0"/>
            </w:pPr>
            <w:r>
              <w:rPr>
                <w:rFonts w:hint="eastAsia"/>
              </w:rPr>
              <w:t>1.探索利用大语言模型做烟草专家系统（烟草知识库</w:t>
            </w:r>
            <w:r>
              <w:rPr>
                <w:rFonts w:hint="eastAsia"/>
                <w:lang w:eastAsia="zh-CN"/>
              </w:rPr>
              <w:t>，参考</w:t>
            </w:r>
            <w:r>
              <w:rPr>
                <w:rFonts w:hint="eastAsia"/>
              </w:rPr>
              <w:t>凉山烤烟气象AI防灾减灾决策系统 建设方案）</w:t>
            </w:r>
          </w:p>
        </w:tc>
        <w:tc>
          <w:tcPr>
            <w:tcW w:w="5298" w:type="dxa"/>
            <w:gridSpan w:val="2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4FF060D2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继续推进烟草资料自动获取和入库流程，重点完善网页抓取、文档解析、文本清洗和统一入库。</w:t>
            </w:r>
          </w:p>
          <w:p w14:paraId="4377D503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继续验证 OpenAI SDK 在知识问答中的应用，优化提示词、检索策略、引用展示和多轮问答效果。</w:t>
            </w:r>
          </w:p>
          <w:p w14:paraId="15608F58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尝试构建烟草专家系统多 Agent 原型，重点验证资料检索、知识归纳、风险判断和答案校验能力。</w:t>
            </w:r>
          </w:p>
          <w:p w14:paraId="6F0696C0">
            <w:pPr>
              <w:snapToGrid w:val="0"/>
              <w:jc w:val="left"/>
            </w:pPr>
            <w:r>
              <w:rPr>
                <w:rFonts w:hint="eastAsia"/>
              </w:rPr>
              <w:t>4. 结合 RAGFlow、GraphRAG、LightRAG 等方案测试结果，进一步明确后续知识库建设技术路线。</w:t>
            </w:r>
          </w:p>
        </w:tc>
      </w:tr>
      <w:tr w14:paraId="3B48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D8D8D8" w:themeFill="background1" w:themeFillShade="D9"/>
          </w:tcPr>
          <w:p w14:paraId="0546C274">
            <w:pPr>
              <w:snapToGrid w:val="0"/>
            </w:pPr>
          </w:p>
        </w:tc>
        <w:tc>
          <w:tcPr>
            <w:tcW w:w="0" w:type="auto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36DCE8EA">
            <w:pPr>
              <w:snapToGrid w:val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  <w:lang w:eastAsia="zh-CN"/>
              </w:rPr>
              <w:t>按照徐老师要求</w:t>
            </w:r>
            <w:r>
              <w:rPr>
                <w:rFonts w:hint="eastAsia"/>
              </w:rPr>
              <w:t>探索利用LLM来调用地图，以语音输入，实现以展示为主的功能</w:t>
            </w:r>
          </w:p>
        </w:tc>
        <w:tc>
          <w:tcPr>
            <w:tcW w:w="5298" w:type="dxa"/>
            <w:gridSpan w:val="2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64E13579">
            <w:pPr>
              <w:snapToGrid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1.接入语音输入能力，尝试实现语音转文字后自动提交到GIS Agent系统，让用户可以通过语音提出地图分析需求。</w:t>
            </w:r>
          </w:p>
          <w:p w14:paraId="47A86F24">
            <w:pPr>
              <w:snapToGrid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2.优化Agent任务拆解效果，重点提升系统对“查询附近设施”“判断点是否在区域内”“按范围筛选目标”“发布结果到地图服务”等常见地图需求的识别准确率。</w:t>
            </w:r>
          </w:p>
          <w:p w14:paraId="63F324FA">
            <w:pPr>
              <w:snapToGrid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3.继续完善GIS工具调用能力，重点测试缓冲区、相交、裁剪、点落区、距离查询、QGIS模型执行和结果发布等功能在真实场景中的稳定性。</w:t>
            </w:r>
          </w:p>
          <w:p w14:paraId="0ABEB818">
            <w:pPr>
              <w:snapToGrid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4.优化前端演示页面，重点改进聊天输入区、任务进度展示、工具调用过程、结果说明、地图图层高亮和发布链接展示效果，使系统更适合汇报演示。</w:t>
            </w:r>
          </w:p>
          <w:p w14:paraId="6406CE07">
            <w:pPr>
              <w:snapToGrid w:val="0"/>
              <w:jc w:val="left"/>
            </w:pPr>
            <w:r>
              <w:rPr>
                <w:rFonts w:hint="eastAsia"/>
                <w:lang w:val="en-US" w:eastAsia="zh-CN"/>
              </w:rPr>
              <w:t>5.完善QGIS Runtime和QGIS Server联调，继续排查模型执行、结果保存、项目重建和服务发布过程中的问题。</w:t>
            </w:r>
          </w:p>
        </w:tc>
      </w:tr>
      <w:tr w14:paraId="5C3D2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</w:tcPr>
          <w:p w14:paraId="4C4E1A86">
            <w:pPr>
              <w:snapToGrid w:val="0"/>
            </w:pPr>
            <w:r>
              <w:rPr>
                <w:rFonts w:hint="eastAsia"/>
              </w:rPr>
              <w:t>下周工作计划：</w:t>
            </w:r>
          </w:p>
          <w:p w14:paraId="6CE3403E">
            <w:pPr>
              <w:snapToGrid w:val="0"/>
            </w:pPr>
            <w:r>
              <w:rPr>
                <w:rFonts w:hint="eastAsia"/>
              </w:rPr>
              <w:t>领导交办的其他事务</w:t>
            </w: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8A9BFA4">
            <w:pPr>
              <w:snapToGrid w:val="0"/>
            </w:pPr>
          </w:p>
        </w:tc>
      </w:tr>
      <w:tr w14:paraId="20B6F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331E5466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9096F85">
            <w:pPr>
              <w:snapToGrid w:val="0"/>
            </w:pPr>
          </w:p>
        </w:tc>
      </w:tr>
      <w:tr w14:paraId="53154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0AAE49B2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0FF76C7">
            <w:pPr>
              <w:snapToGrid w:val="0"/>
            </w:pPr>
          </w:p>
        </w:tc>
      </w:tr>
      <w:tr w14:paraId="77E9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07043EA8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single" w:color="auto" w:sz="4" w:space="0"/>
            </w:tcBorders>
          </w:tcPr>
          <w:p w14:paraId="3F0AE8F3">
            <w:pPr>
              <w:snapToGrid w:val="0"/>
            </w:pPr>
          </w:p>
        </w:tc>
      </w:tr>
      <w:tr w14:paraId="7CE5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0" w:type="dxa"/>
          </w:tcPr>
          <w:p w14:paraId="11120E6F">
            <w:pPr>
              <w:snapToGrid w:val="0"/>
            </w:pPr>
            <w:r>
              <w:rPr>
                <w:rFonts w:hint="eastAsia"/>
              </w:rPr>
              <w:t>备注</w:t>
            </w:r>
          </w:p>
        </w:tc>
        <w:tc>
          <w:tcPr>
            <w:tcW w:w="7580" w:type="dxa"/>
            <w:gridSpan w:val="3"/>
            <w:tcBorders>
              <w:top w:val="single" w:color="auto" w:sz="4" w:space="0"/>
            </w:tcBorders>
          </w:tcPr>
          <w:p w14:paraId="7180B05A">
            <w:pPr>
              <w:snapToGrid w:val="0"/>
            </w:pPr>
          </w:p>
        </w:tc>
      </w:tr>
    </w:tbl>
    <w:p w14:paraId="0F0D4A0D">
      <w:pPr>
        <w:widowControl/>
        <w:snapToGrid w:val="0"/>
        <w:rPr>
          <w:b/>
          <w:sz w:val="18"/>
          <w:szCs w:val="21"/>
        </w:rPr>
      </w:pPr>
    </w:p>
    <w:sectPr>
      <w:pgSz w:w="11906" w:h="16838"/>
      <w:pgMar w:top="1134" w:right="1701" w:bottom="1134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2A02993"/>
    <w:rsid w:val="1CA86413"/>
    <w:rsid w:val="223A386C"/>
    <w:rsid w:val="346D2EE4"/>
    <w:rsid w:val="3FFF6AEA"/>
    <w:rsid w:val="49DB1DED"/>
    <w:rsid w:val="55066A23"/>
    <w:rsid w:val="61F1723C"/>
    <w:rsid w:val="7EFD0DF3"/>
    <w:rsid w:val="7FDD36D6"/>
    <w:rsid w:val="B7D70081"/>
    <w:rsid w:val="EBBDBDAE"/>
    <w:rsid w:val="F5FF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15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qFormat/>
    <w:uiPriority w:val="0"/>
    <w:rPr>
      <w:kern w:val="2"/>
      <w:sz w:val="18"/>
      <w:szCs w:val="18"/>
    </w:rPr>
  </w:style>
  <w:style w:type="character" w:customStyle="1" w:styleId="10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3"/>
    <w:qFormat/>
    <w:uiPriority w:val="0"/>
    <w:rPr>
      <w:kern w:val="2"/>
      <w:sz w:val="18"/>
      <w:szCs w:val="18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Pasco</Company>
  <Pages>2</Pages>
  <Words>1354</Words>
  <Characters>1581</Characters>
  <Lines>16</Lines>
  <Paragraphs>4</Paragraphs>
  <TotalTime>297</TotalTime>
  <ScaleCrop>false</ScaleCrop>
  <LinksUpToDate>false</LinksUpToDate>
  <CharactersWithSpaces>1662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2026-03-21T15:45:00Z</dcterms:created>
  <dc:creator>Xu</dc:creator>
  <cp:lastModifiedBy>林逸骏</cp:lastModifiedBy>
  <dcterms:modified xsi:type="dcterms:W3CDTF">2026-05-09T14:06:29Z</dcterms:modified>
  <dc:title>工作日报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17th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12th edition - Harvard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9th edition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Mendeley Unique User Id_1">
    <vt:lpwstr>accd406b-9bd9-3b3a-bce8-8950ea91309d</vt:lpwstr>
  </property>
  <property fmtid="{D5CDD505-2E9C-101B-9397-08002B2CF9AE}" pid="24" name="KSOTemplateDocerSaveRecord">
    <vt:lpwstr>eyJoZGlkIjoiNThhN2JjN2Q4NjA4ZDMxNzc4YWY2YmJjOTQxNzU3M2EiLCJ1c2VySWQiOiIxNzUzODczIn0=</vt:lpwstr>
  </property>
  <property fmtid="{D5CDD505-2E9C-101B-9397-08002B2CF9AE}" pid="25" name="KSOProductBuildVer">
    <vt:lpwstr>2052-12.1.2.25882</vt:lpwstr>
  </property>
  <property fmtid="{D5CDD505-2E9C-101B-9397-08002B2CF9AE}" pid="26" name="ICV">
    <vt:lpwstr>A00F1823F21F0127E5CEFE6924D557A8_43</vt:lpwstr>
  </property>
</Properties>
</file>