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PPR Proposal Template: Care Teams Research Project</w:t>
      </w:r>
    </w:p>
    <w:p>
      <w:pPr>
        <w:pStyle w:val="Heading2"/>
      </w:pPr>
      <w:r>
        <w:t>Project Title</w:t>
      </w:r>
    </w:p>
    <w:p>
      <w:r>
        <w:t>English:</w:t>
      </w:r>
    </w:p>
    <w:p>
      <w:r>
        <w:t>Who Deserves Community Care? Public Preferences, Agenda Alignment, and Deservingness Perceptions of Care Teams in Hong Kong</w:t>
      </w:r>
    </w:p>
    <w:p>
      <w:r>
        <w:t>Chinese:</w:t>
      </w:r>
    </w:p>
    <w:p>
      <w:r>
        <w:t>誰值得社區照顧？香港市民對關愛隊的偏好、議程契合度與應得性認知研究</w:t>
      </w:r>
    </w:p>
    <w:p/>
    <w:p>
      <w:pPr>
        <w:pStyle w:val="Heading2"/>
      </w:pPr>
      <w:r>
        <w:t>Executive Summary / Abstract</w:t>
      </w:r>
    </w:p>
    <w:p>
      <w:pPr>
        <w:pStyle w:val="Heading3"/>
      </w:pPr>
      <w:r>
        <w:t>English Abstract (Recommended 400-500 words)</w:t>
      </w:r>
    </w:p>
    <w:p>
      <w:r>
        <w:t>Hong Kong's 2022 Policy Address introduced the Care Teams initiative as a cornerstone of district governance reform, establishing 455 teams across 18 districts to strengthen community support networks. Despite this significant policy investment, limited empirical research exists on public perceptions of welfare deservingness in community care contexts and how these perceptions align with government policy priorities.</w:t>
      </w:r>
    </w:p>
    <w:p>
      <w:r>
        <w:t>This study aims to examine: (1) public preferences regarding who deserves community care services; (2) the alignment between public perceptions and government agenda-setting for Care Teams; and (3) the factors influencing deservingness perceptions using the CARIN Framework (Control, Attitude, Reciprocity, Identity, Need).</w:t>
      </w:r>
    </w:p>
    <w:p>
      <w:r>
        <w:t>Adopting a mixed-methods approach, this research integrates quantitative survey research with qualitative investigations. The quantitative component involves a territory-wide survey of 1,800 Hong Kong residents using stratified random sampling, incorporating vignette experiments to assess deservingness judgments across different recipient profiles. The qualitative component includes 8-10 focus groups with diverse stakeholders (residents, Care Team members, district councillors) and 20-30 in-depth interviews with key informants.</w:t>
      </w:r>
    </w:p>
    <w:p>
      <w:r>
        <w:t>Data analysis will employ Structural Equation Modelling (SEM) and Hierarchical Linear Modelling (HLM) for quantitative data, and thematic analysis for qualitative data. The theoretical framework combines the CARIN Framework for welfare deservingness with Agenda-Setting Theory to examine the interplay between public opinion and policy priorities.</w:t>
      </w:r>
    </w:p>
    <w:p>
      <w:r>
        <w:t>Expected outcomes include: (1) empirical evidence on Hong Kong residents' deservingness perceptions; (2) assessment of agenda alignment between public and government priorities; (3) validated measurement instruments for future research; and (4) evidence-based policy recommendations for optimizing Care Teams deployment and resource allocation.</w:t>
      </w:r>
    </w:p>
    <w:p>
      <w:r>
        <w:t>This research addresses a critical knowledge gap at the intersection of welfare policy and district governance, providing actionable insights for enhancing the effectiveness of community care initiatives in Hong Kong.</w:t>
      </w:r>
    </w:p>
    <w:p>
      <w:r>
        <w:t>Keywords: Care Teams; welfare deservingness; CARIN Framework; agenda-setting; community care; Hong Kong</w:t>
      </w:r>
    </w:p>
    <w:p>
      <w:pPr>
        <w:pStyle w:val="Heading3"/>
      </w:pPr>
      <w:r>
        <w:t>Chinese Abstract (中文摘要)</w:t>
      </w:r>
    </w:p>
    <w:p>
      <w:r>
        <w:t>香港2022年施政報告推出「關愛隊」計劃，作為地區治理改革的重要組成部分，在全港18區設立455支關愛隊，以加強社區支援網絡。然而，目前缺乏關於市民對社區照顧服務應得性認知的實證研究，以及這些認知與政府政策優先次序的契合程度。</w:t>
      </w:r>
    </w:p>
    <w:p>
      <w:r>
        <w:t>本研究旨在探討：(1) 市民對誰應獲得社區照顧服務的偏好；(2) 市民認知與政府關愛隊議程設定的契合度；(3) 運用CARIN框架（控制、態度、互惠、身份認同、需要）分析影響應得性認知的因素。</w:t>
      </w:r>
    </w:p>
    <w:p>
      <w:r>
        <w:t>本研究採用混合研究方法，結合量化問卷調查與質性研究。量化部分包括對1,800名香港居民進行分層隨機抽樣調查，並採用情境實驗評估不同受助者特徵的應得性判斷。質性部分包括8-10個焦點小組（涵蓋居民、關愛隊成員、區議員等持份者）及20-30個深入訪談。</w:t>
      </w:r>
    </w:p>
    <w:p>
      <w:r>
        <w:t>數據分析將採用結構方程模型（SEM）和階層線性模型（HLM）處理量化數據，並以主題分析法處理質性數據。理論框架結合CARIN福利應得性框架與議程設定理論，探討公眾意見與政策優先次序的互動關係。</w:t>
      </w:r>
    </w:p>
    <w:p>
      <w:r>
        <w:t>預期成果包括：(1) 香港居民應得性認知的實證數據；(2) 公眾與政府優先次序的契合度評估；(3) 經驗證的測量工具；(4) 優化關愛隊部署和資源分配的政策建議。</w:t>
      </w:r>
    </w:p>
    <w:p>
      <w:r>
        <w:t>關鍵詞： 關愛隊；福利應得性；CARIN框架；議程設定；社區照顧；香港</w:t>
      </w:r>
    </w:p>
    <w:p/>
    <w:p>
      <w:pPr>
        <w:pStyle w:val="Heading2"/>
      </w:pPr>
      <w:r>
        <w:t>1. Background and Rationale</w:t>
      </w:r>
    </w:p>
    <w:p>
      <w:pPr>
        <w:pStyle w:val="Heading3"/>
      </w:pPr>
      <w:r>
        <w:t>1.1 Policy Context</w:t>
      </w:r>
    </w:p>
    <w:p>
      <w:r>
        <w:t>The 2022 Policy Address marked a significant shift in Hong Kong's approach to district governance, introducing Care Teams (關愛隊) as a key mechanism for strengthening community support networks. As of [current date], 455 Care Teams have been established across all 18 districts, representing a substantial investment in community-level welfare delivery.</w:t>
      </w:r>
    </w:p>
    <w:p>
      <w:r>
        <w:t>Care Teams are tasked with:</w:t>
      </w:r>
    </w:p>
    <w:p>
      <w:pPr>
        <w:pStyle w:val="ListBullet"/>
      </w:pPr>
      <w:r>
        <w:t>Identifying and supporting vulnerable residents</w:t>
      </w:r>
    </w:p>
    <w:p>
      <w:pPr>
        <w:pStyle w:val="ListBullet"/>
      </w:pPr>
      <w:r>
        <w:t>Coordinating community resources</w:t>
      </w:r>
    </w:p>
    <w:p>
      <w:pPr>
        <w:pStyle w:val="ListBullet"/>
      </w:pPr>
      <w:r>
        <w:t>Facilitating communication between residents and government</w:t>
      </w:r>
    </w:p>
    <w:p>
      <w:pPr>
        <w:pStyle w:val="ListBullet"/>
      </w:pPr>
      <w:r>
        <w:t>Responding to community needs and emergencies</w:t>
      </w:r>
    </w:p>
    <w:p>
      <w:r>
        <w:t>Despite this significant policy initiative, several critical questions remain unanswered:</w:t>
      </w:r>
    </w:p>
    <w:p>
      <w:pPr>
        <w:pStyle w:val="ListBullet"/>
      </w:pPr>
      <w:r>
        <w:t>How do Hong Kong residents perceive who deserves community care services?</w:t>
      </w:r>
    </w:p>
    <w:p>
      <w:pPr>
        <w:pStyle w:val="ListBullet"/>
      </w:pPr>
      <w:r>
        <w:t>To what extent do public preferences align with government priorities?</w:t>
      </w:r>
    </w:p>
    <w:p>
      <w:pPr>
        <w:pStyle w:val="ListBullet"/>
      </w:pPr>
      <w:r>
        <w:t>What factors influence deservingness judgments in the Hong Kong context?</w:t>
      </w:r>
    </w:p>
    <w:p>
      <w:pPr>
        <w:pStyle w:val="Heading3"/>
      </w:pPr>
      <w:r>
        <w:t>1.2 Research Gap</w:t>
      </w:r>
    </w:p>
    <w:p>
      <w:r>
        <w:t>Existing research on welfare deservingness has predominantly focused on Western contexts, with limited application to Hong Kong's unique socio-political environment. The CARIN Framework (van Oorschot, 2000, 2006), while widely validated internationally, has not been systematically applied to community care contexts in Hong Kong.</w:t>
      </w:r>
    </w:p>
    <w:p>
      <w:r>
        <w:t>Furthermore, the relationship between public opinion and policy agenda-setting (McCombs &amp; Shaw, 1972) in Hong Kong's welfare domain remains underexplored, particularly following recent governance reforms.</w:t>
      </w:r>
    </w:p>
    <w:p>
      <w:pPr>
        <w:pStyle w:val="Heading3"/>
      </w:pPr>
      <w:r>
        <w:t>1.3 Significance</w:t>
      </w:r>
    </w:p>
    <w:p>
      <w:r>
        <w:t>This research addresses these gaps by:</w:t>
      </w:r>
    </w:p>
    <w:p>
      <w:pPr>
        <w:pStyle w:val="ListNumber"/>
      </w:pPr>
      <w:r>
        <w:t>Providing the first systematic study of welfare deservingness perceptions in Hong Kong's community care context</w:t>
      </w:r>
    </w:p>
    <w:p>
      <w:pPr>
        <w:pStyle w:val="ListNumber"/>
      </w:pPr>
      <w:r>
        <w:t>Examining agenda alignment between public preferences and government priorities</w:t>
      </w:r>
    </w:p>
    <w:p>
      <w:pPr>
        <w:pStyle w:val="ListNumber"/>
      </w:pPr>
      <w:r>
        <w:t>Generating evidence-based recommendations for Care Teams optimization</w:t>
      </w:r>
    </w:p>
    <w:p>
      <w:pPr>
        <w:pStyle w:val="ListNumber"/>
      </w:pPr>
      <w:r>
        <w:t>Contributing to theoretical development by testing the CARIN Framework in a new cultural context</w:t>
      </w:r>
    </w:p>
    <w:p/>
    <w:p>
      <w:pPr>
        <w:pStyle w:val="Heading2"/>
      </w:pPr>
      <w:r>
        <w:t>2. Research Objectives</w:t>
      </w:r>
    </w:p>
    <w:p>
      <w:pPr>
        <w:pStyle w:val="Heading3"/>
      </w:pPr>
      <w:r>
        <w:t>2.1 Primary Objectives</w:t>
      </w:r>
    </w:p>
    <w:p>
      <w:pPr>
        <w:pStyle w:val="ListNumber"/>
      </w:pPr>
      <w:r>
        <w:t>To examine Hong Kong residents' perceptions of who deserves community care services provided by Care Teams</w:t>
      </w:r>
    </w:p>
    <w:p>
      <w:pPr>
        <w:pStyle w:val="ListNumber"/>
      </w:pPr>
      <w:r>
        <w:t>To assess the alignment between public deservingness perceptions and government agenda-setting for Care Teams</w:t>
      </w:r>
    </w:p>
    <w:p>
      <w:pPr>
        <w:pStyle w:val="ListNumber"/>
      </w:pPr>
      <w:r>
        <w:t>To identify factors influencing deservingness judgments using the CARIN Framework (Control, Attitude, Reciprocity, Identity, Need)</w:t>
      </w:r>
    </w:p>
    <w:p>
      <w:pPr>
        <w:pStyle w:val="Heading3"/>
      </w:pPr>
      <w:r>
        <w:t>2.2 Secondary Objectives</w:t>
      </w:r>
    </w:p>
    <w:p>
      <w:pPr>
        <w:pStyle w:val="ListNumber"/>
      </w:pPr>
      <w:r>
        <w:t>To compare deservingness perceptions across different demographic groups and districts</w:t>
      </w:r>
    </w:p>
    <w:p>
      <w:pPr>
        <w:pStyle w:val="ListNumber"/>
      </w:pPr>
      <w:r>
        <w:t>To explore stakeholder perspectives on Care Teams effectiveness and targeting</w:t>
      </w:r>
    </w:p>
    <w:p>
      <w:pPr>
        <w:pStyle w:val="ListNumber"/>
      </w:pPr>
      <w:r>
        <w:t>To develop and validate measurement instruments for welfare deservingness in Hong Kong context</w:t>
      </w:r>
    </w:p>
    <w:p>
      <w:pPr>
        <w:pStyle w:val="ListNumber"/>
      </w:pPr>
      <w:r>
        <w:t>To provide evidence-based policy recommendations for optimizing Care Teams deployment and resource allocation</w:t>
      </w:r>
    </w:p>
    <w:p/>
    <w:p>
      <w:pPr>
        <w:pStyle w:val="Heading2"/>
      </w:pPr>
      <w:r>
        <w:t>3. Theoretical Framework</w:t>
      </w:r>
    </w:p>
    <w:p>
      <w:pPr>
        <w:pStyle w:val="Heading3"/>
      </w:pPr>
      <w:r>
        <w:t>3.1 CARIN Framework for Welfare Deservingness</w:t>
      </w:r>
    </w:p>
    <w:p>
      <w:r>
        <w:t>The CARIN Framework (van Oorschot, 2000, 2006) identifies five criteria that influence public judgments of welfare deservingness:</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Definition</w:t>
            </w:r>
          </w:p>
        </w:tc>
        <w:tc>
          <w:tcPr>
            <w:tcW w:type="dxa" w:w="2880"/>
          </w:tcPr>
          <w:p>
            <w:r>
              <w:t>Application to Care Teams</w:t>
            </w:r>
          </w:p>
        </w:tc>
      </w:tr>
      <w:tr>
        <w:tc>
          <w:tcPr>
            <w:tcW w:type="dxa" w:w="2880"/>
          </w:tcPr>
          <w:p>
            <w:r>
              <w:t>Control</w:t>
            </w:r>
          </w:p>
        </w:tc>
        <w:tc>
          <w:tcPr>
            <w:tcW w:type="dxa" w:w="2880"/>
          </w:tcPr>
          <w:p>
            <w:r>
              <w:t>Perceived responsibility for one's situation</w:t>
            </w:r>
          </w:p>
        </w:tc>
        <w:tc>
          <w:tcPr>
            <w:tcW w:type="dxa" w:w="2880"/>
          </w:tcPr>
          <w:p>
            <w:r>
              <w:t>Did the person cause their own need?</w:t>
            </w:r>
          </w:p>
        </w:tc>
      </w:tr>
      <w:tr>
        <w:tc>
          <w:tcPr>
            <w:tcW w:type="dxa" w:w="2880"/>
          </w:tcPr>
          <w:p>
            <w:r>
              <w:t>Attitude</w:t>
            </w:r>
          </w:p>
        </w:tc>
        <w:tc>
          <w:tcPr>
            <w:tcW w:type="dxa" w:w="2880"/>
          </w:tcPr>
          <w:p>
            <w:r>
              <w:t>Perceived gratitude and compliance</w:t>
            </w:r>
          </w:p>
        </w:tc>
        <w:tc>
          <w:tcPr>
            <w:tcW w:type="dxa" w:w="2880"/>
          </w:tcPr>
          <w:p>
            <w:r>
              <w:t>Is the person appreciative of help?</w:t>
            </w:r>
          </w:p>
        </w:tc>
      </w:tr>
      <w:tr>
        <w:tc>
          <w:tcPr>
            <w:tcW w:type="dxa" w:w="2880"/>
          </w:tcPr>
          <w:p>
            <w:r>
              <w:t>Reciprocity</w:t>
            </w:r>
          </w:p>
        </w:tc>
        <w:tc>
          <w:tcPr>
            <w:tcW w:type="dxa" w:w="2880"/>
          </w:tcPr>
          <w:p>
            <w:r>
              <w:t>Past and potential contributions</w:t>
            </w:r>
          </w:p>
        </w:tc>
        <w:tc>
          <w:tcPr>
            <w:tcW w:type="dxa" w:w="2880"/>
          </w:tcPr>
          <w:p>
            <w:r>
              <w:t>Has the person contributed to society?</w:t>
            </w:r>
          </w:p>
        </w:tc>
      </w:tr>
      <w:tr>
        <w:tc>
          <w:tcPr>
            <w:tcW w:type="dxa" w:w="2880"/>
          </w:tcPr>
          <w:p>
            <w:r>
              <w:t>Identity</w:t>
            </w:r>
          </w:p>
        </w:tc>
        <w:tc>
          <w:tcPr>
            <w:tcW w:type="dxa" w:w="2880"/>
          </w:tcPr>
          <w:p>
            <w:r>
              <w:t>Social proximity and similarity</w:t>
            </w:r>
          </w:p>
        </w:tc>
        <w:tc>
          <w:tcPr>
            <w:tcW w:type="dxa" w:w="2880"/>
          </w:tcPr>
          <w:p>
            <w:r>
              <w:t>Is the person "one of us"?</w:t>
            </w:r>
          </w:p>
        </w:tc>
      </w:tr>
      <w:tr>
        <w:tc>
          <w:tcPr>
            <w:tcW w:type="dxa" w:w="2880"/>
          </w:tcPr>
          <w:p>
            <w:r>
              <w:t>Need</w:t>
            </w:r>
          </w:p>
        </w:tc>
        <w:tc>
          <w:tcPr>
            <w:tcW w:type="dxa" w:w="2880"/>
          </w:tcPr>
          <w:p>
            <w:r>
              <w:t>Severity and urgency of situation</w:t>
            </w:r>
          </w:p>
        </w:tc>
        <w:tc>
          <w:tcPr>
            <w:tcW w:type="dxa" w:w="2880"/>
          </w:tcPr>
          <w:p>
            <w:r>
              <w:t>How desperate is the person's situation?</w:t>
            </w:r>
          </w:p>
        </w:tc>
      </w:tr>
    </w:tbl>
    <w:p/>
    <w:p>
      <w:pPr>
        <w:pStyle w:val="Heading3"/>
      </w:pPr>
      <w:r>
        <w:t>3.2 Agenda-Setting Theory</w:t>
      </w:r>
    </w:p>
    <w:p>
      <w:r>
        <w:t>Agenda-Setting Theory (McCombs &amp; Shaw, 1972) posits that media and policy actors influence public perceptions of issue importance. This study extends this framework to examine:</w:t>
      </w:r>
    </w:p>
    <w:p>
      <w:pPr>
        <w:pStyle w:val="ListBullet"/>
      </w:pPr>
      <w:r>
        <w:t>Government agenda-setting through Care Teams priorities</w:t>
      </w:r>
    </w:p>
    <w:p>
      <w:pPr>
        <w:pStyle w:val="ListBullet"/>
      </w:pPr>
      <w:r>
        <w:t>Public agenda formation regarding community care</w:t>
      </w:r>
    </w:p>
    <w:p>
      <w:pPr>
        <w:pStyle w:val="ListBullet"/>
      </w:pPr>
      <w:r>
        <w:t>Alignment/misalignment between these agendas</w:t>
      </w:r>
    </w:p>
    <w:p>
      <w:pPr>
        <w:pStyle w:val="Heading3"/>
      </w:pPr>
      <w:r>
        <w:t>3.3 Integrated Conceptual Model</w:t>
      </w:r>
    </w:p>
    <w:p>
      <w:r>
        <w:t>[Diagram description: The conceptual model shows CARIN criteria as independent variables influencing deservingness perceptions, moderated by demographic factors and district characteristics, with agenda alignment as a mediating variable affecting policy support outcomes.]</w:t>
      </w:r>
    </w:p>
    <w:p/>
    <w:p>
      <w:pPr>
        <w:pStyle w:val="Heading2"/>
      </w:pPr>
      <w:r>
        <w:t>4. Research Methodology</w:t>
      </w:r>
    </w:p>
    <w:p>
      <w:pPr>
        <w:pStyle w:val="Heading3"/>
      </w:pPr>
      <w:r>
        <w:t>4.1 Research Design</w:t>
      </w:r>
    </w:p>
    <w:p>
      <w:r>
        <w:t>This study employs a mixed-methods sequential explanatory design, combining:</w:t>
      </w:r>
    </w:p>
    <w:p>
      <w:pPr>
        <w:pStyle w:val="ListBullet"/>
      </w:pPr>
      <w:r>
        <w:t>Phase 1: Quantitative survey with vignette experiments (N=1,800)</w:t>
      </w:r>
    </w:p>
    <w:p>
      <w:pPr>
        <w:pStyle w:val="ListBullet"/>
      </w:pPr>
      <w:r>
        <w:t>Phase 2: Qualitative focus groups and interviews (N=80-100 participants)</w:t>
      </w:r>
    </w:p>
    <w:p>
      <w:pPr>
        <w:pStyle w:val="Heading3"/>
      </w:pPr>
      <w:r>
        <w:t>4.2 Quantitative Component</w:t>
      </w:r>
    </w:p>
    <w:p>
      <w:pPr>
        <w:pStyle w:val="Heading4"/>
      </w:pPr>
      <w:r>
        <w:t>4.2.1 Sampling Strategy</w:t>
      </w:r>
    </w:p>
    <w:p>
      <w:r>
        <w:t>Target Population: Hong Kong residents aged 18 or above</w:t>
      </w:r>
    </w:p>
    <w:p>
      <w:r>
        <w:t>Sampling Method: Stratified random sampling by district and demographic characteristics</w:t>
      </w:r>
    </w:p>
    <w:p>
      <w:r>
        <w:t>Sample Size: 1,800 respondents</w:t>
      </w:r>
    </w:p>
    <w:p>
      <w:pPr>
        <w:pStyle w:val="ListBullet"/>
      </w:pPr>
      <w:r>
        <w:t>Justification: Power analysis indicates N=1,800 provides 95% confidence level with ±2.3% margin of error; sufficient for SEM analysis (minimum 10:1 ratio of cases to parameters)</w:t>
      </w:r>
    </w:p>
    <w:p>
      <w:r>
        <w:t>Stratification:</w:t>
      </w:r>
    </w:p>
    <w:p>
      <w:pPr>
        <w:pStyle w:val="ListBullet"/>
      </w:pPr>
      <w:r>
        <w:t>18 districts (proportional to population)</w:t>
      </w:r>
    </w:p>
    <w:p>
      <w:pPr>
        <w:pStyle w:val="ListBullet"/>
      </w:pPr>
      <w:r>
        <w:t>Age groups (18-29, 30-44, 45-59, 60+)</w:t>
      </w:r>
    </w:p>
    <w:p>
      <w:pPr>
        <w:pStyle w:val="ListBullet"/>
      </w:pPr>
      <w:r>
        <w:t>Gender (male/female)</w:t>
      </w:r>
    </w:p>
    <w:p>
      <w:pPr>
        <w:pStyle w:val="Heading4"/>
      </w:pPr>
      <w:r>
        <w:t>4.2.2 Survey Instrument</w:t>
      </w:r>
    </w:p>
    <w:p>
      <w:r>
        <w:t>The questionnaire comprises five sections:</w:t>
      </w:r>
    </w:p>
    <w:p>
      <w:r>
        <w:t>Section A: Deservingness Perceptions</w:t>
      </w:r>
    </w:p>
    <w:p>
      <w:pPr>
        <w:pStyle w:val="ListBullet"/>
      </w:pPr>
      <w:r>
        <w:t>Adapted CARIN scale items (van Oorschot, 2006)</w:t>
      </w:r>
    </w:p>
    <w:p>
      <w:pPr>
        <w:pStyle w:val="ListBullet"/>
      </w:pPr>
      <w:r>
        <w:t>25 items measuring five CARIN dimensions</w:t>
      </w:r>
    </w:p>
    <w:p>
      <w:pPr>
        <w:pStyle w:val="ListBullet"/>
      </w:pPr>
      <w:r>
        <w:t>7-point Likert scale (1=Strongly Disagree to 7=Strongly Agree)</w:t>
      </w:r>
    </w:p>
    <w:p>
      <w:r>
        <w:t>Section B: Vignette Experiments</w:t>
      </w:r>
    </w:p>
    <w:p>
      <w:pPr>
        <w:pStyle w:val="ListBullet"/>
      </w:pPr>
      <w:r>
        <w:t>8 vignettes describing potential Care Teams recipients</w:t>
      </w:r>
    </w:p>
    <w:p>
      <w:pPr>
        <w:pStyle w:val="ListBullet"/>
      </w:pPr>
      <w:r>
        <w:t>Systematically varied characteristics (age, health status, family situation, employment, contribution history)</w:t>
      </w:r>
    </w:p>
    <w:p>
      <w:pPr>
        <w:pStyle w:val="ListBullet"/>
      </w:pPr>
      <w:r>
        <w:t>Respondents rate deservingness of each vignette character</w:t>
      </w:r>
    </w:p>
    <w:p>
      <w:r>
        <w:t>Section C: Care Teams Awareness and Attitudes</w:t>
      </w:r>
    </w:p>
    <w:p>
      <w:pPr>
        <w:pStyle w:val="ListBullet"/>
      </w:pPr>
      <w:r>
        <w:t>Awareness of Care Teams existence and functions</w:t>
      </w:r>
    </w:p>
    <w:p>
      <w:pPr>
        <w:pStyle w:val="ListBullet"/>
      </w:pPr>
      <w:r>
        <w:t>Perceived effectiveness</w:t>
      </w:r>
    </w:p>
    <w:p>
      <w:pPr>
        <w:pStyle w:val="ListBullet"/>
      </w:pPr>
      <w:r>
        <w:t>Personal experience with Care Teams</w:t>
      </w:r>
    </w:p>
    <w:p>
      <w:r>
        <w:t>Section D: Policy Priorities</w:t>
      </w:r>
    </w:p>
    <w:p>
      <w:pPr>
        <w:pStyle w:val="ListBullet"/>
      </w:pPr>
      <w:r>
        <w:t>Ranking of community care priorities</w:t>
      </w:r>
    </w:p>
    <w:p>
      <w:pPr>
        <w:pStyle w:val="ListBullet"/>
      </w:pPr>
      <w:r>
        <w:t>Comparison with government-stated priorities</w:t>
      </w:r>
    </w:p>
    <w:p>
      <w:pPr>
        <w:pStyle w:val="ListBullet"/>
      </w:pPr>
      <w:r>
        <w:t>Support for various Care Teams activities</w:t>
      </w:r>
    </w:p>
    <w:p>
      <w:r>
        <w:t>Section E: Demographics</w:t>
      </w:r>
    </w:p>
    <w:p>
      <w:pPr>
        <w:pStyle w:val="ListBullet"/>
      </w:pPr>
      <w:r>
        <w:t>Age, gender, education, income</w:t>
      </w:r>
    </w:p>
    <w:p>
      <w:pPr>
        <w:pStyle w:val="ListBullet"/>
      </w:pPr>
      <w:r>
        <w:t>District of residence</w:t>
      </w:r>
    </w:p>
    <w:p>
      <w:pPr>
        <w:pStyle w:val="ListBullet"/>
      </w:pPr>
      <w:r>
        <w:t>Housing type</w:t>
      </w:r>
    </w:p>
    <w:p>
      <w:pPr>
        <w:pStyle w:val="ListBullet"/>
      </w:pPr>
      <w:r>
        <w:t>Political orientation</w:t>
      </w:r>
    </w:p>
    <w:p>
      <w:pPr>
        <w:pStyle w:val="Heading4"/>
      </w:pPr>
      <w:r>
        <w:t>4.2.3 Data Collection</w:t>
      </w:r>
    </w:p>
    <w:p>
      <w:r>
        <w:t>Method: Computer-Assisted Telephone Interviewing (CATI) + Online survey option</w:t>
      </w:r>
    </w:p>
    <w:p>
      <w:r>
        <w:t>Duration: Approximately 25-30 minutes per respondent</w:t>
      </w:r>
    </w:p>
    <w:p>
      <w:r>
        <w:t>Timeline: Months 6-10</w:t>
      </w:r>
    </w:p>
    <w:p>
      <w:r>
        <w:t>Quality Control:</w:t>
      </w:r>
    </w:p>
    <w:p>
      <w:pPr>
        <w:pStyle w:val="ListBullet"/>
      </w:pPr>
      <w:r>
        <w:t>Pilot testing with 50 respondents</w:t>
      </w:r>
    </w:p>
    <w:p>
      <w:pPr>
        <w:pStyle w:val="ListBullet"/>
      </w:pPr>
      <w:r>
        <w:t>Interviewer training</w:t>
      </w:r>
    </w:p>
    <w:p>
      <w:pPr>
        <w:pStyle w:val="ListBullet"/>
      </w:pPr>
      <w:r>
        <w:t>Random callback verification (10% of sample)</w:t>
      </w:r>
    </w:p>
    <w:p>
      <w:pPr>
        <w:pStyle w:val="Heading4"/>
      </w:pPr>
      <w:r>
        <w:t>4.2.4 Quantitative Analysis</w:t>
      </w:r>
    </w:p>
    <w:p>
      <w:r>
        <w:t>Descriptive Analysis:</w:t>
      </w:r>
    </w:p>
    <w:p>
      <w:pPr>
        <w:pStyle w:val="ListBullet"/>
      </w:pPr>
      <w:r>
        <w:t>Frequency distributions</w:t>
      </w:r>
    </w:p>
    <w:p>
      <w:pPr>
        <w:pStyle w:val="ListBullet"/>
      </w:pPr>
      <w:r>
        <w:t>Cross-tabulations by demographics and district</w:t>
      </w:r>
    </w:p>
    <w:p>
      <w:r>
        <w:t>Inferential Analysis:</w:t>
      </w:r>
    </w:p>
    <w:p>
      <w:pPr>
        <w:pStyle w:val="ListBullet"/>
      </w:pPr>
      <w:r>
        <w:t>Confirmatory Factor Analysis (CFA) for CARIN scale validation</w:t>
      </w:r>
    </w:p>
    <w:p>
      <w:pPr>
        <w:pStyle w:val="ListBullet"/>
      </w:pPr>
      <w:r>
        <w:t>Structural Equation Modelling (SEM) for testing theoretical model</w:t>
      </w:r>
    </w:p>
    <w:p>
      <w:pPr>
        <w:pStyle w:val="ListBullet"/>
      </w:pPr>
      <w:r>
        <w:t>Hierarchical Linear Modelling (HLM) for district-level effects</w:t>
      </w:r>
    </w:p>
    <w:p>
      <w:pPr>
        <w:pStyle w:val="ListBullet"/>
      </w:pPr>
      <w:r>
        <w:t>Regression analysis for vignette experiments</w:t>
      </w:r>
    </w:p>
    <w:p>
      <w:r>
        <w:t>Software: SPSS 28, Mplus 8, HLM 8</w:t>
      </w:r>
    </w:p>
    <w:p>
      <w:pPr>
        <w:pStyle w:val="Heading3"/>
      </w:pPr>
      <w:r>
        <w:t>4.3 Qualitative Component</w:t>
      </w:r>
    </w:p>
    <w:p>
      <w:pPr>
        <w:pStyle w:val="Heading4"/>
      </w:pPr>
      <w:r>
        <w:t>4.3.1 Focus Groups</w:t>
      </w:r>
    </w:p>
    <w:p>
      <w:r>
        <w:t>Number: 8-10 focus groups</w:t>
      </w:r>
    </w:p>
    <w:p>
      <w:r>
        <w:t>Composition:</w:t>
      </w:r>
    </w:p>
    <w:p>
      <w:pPr>
        <w:pStyle w:val="ListBullet"/>
      </w:pPr>
      <w:r>
        <w:t>2 groups: General residents (mixed demographics)</w:t>
      </w:r>
    </w:p>
    <w:p>
      <w:pPr>
        <w:pStyle w:val="ListBullet"/>
      </w:pPr>
      <w:r>
        <w:t>2 groups: Elderly residents (65+)</w:t>
      </w:r>
    </w:p>
    <w:p>
      <w:pPr>
        <w:pStyle w:val="ListBullet"/>
      </w:pPr>
      <w:r>
        <w:t>2 groups: Care Team members</w:t>
      </w:r>
    </w:p>
    <w:p>
      <w:pPr>
        <w:pStyle w:val="ListBullet"/>
      </w:pPr>
      <w:r>
        <w:t>2 groups: District councillors/community leaders</w:t>
      </w:r>
    </w:p>
    <w:p>
      <w:pPr>
        <w:pStyle w:val="ListBullet"/>
      </w:pPr>
      <w:r>
        <w:t>2 groups: Social workers and NGO representatives</w:t>
      </w:r>
    </w:p>
    <w:p>
      <w:r>
        <w:t>Size: 6-8 participants per group</w:t>
      </w:r>
    </w:p>
    <w:p>
      <w:r>
        <w:t>Duration: 90-120 minutes</w:t>
      </w:r>
    </w:p>
    <w:p>
      <w:r>
        <w:t>Topics:</w:t>
      </w:r>
    </w:p>
    <w:p>
      <w:pPr>
        <w:pStyle w:val="ListBullet"/>
      </w:pPr>
      <w:r>
        <w:t>Perceptions of community care needs</w:t>
      </w:r>
    </w:p>
    <w:p>
      <w:pPr>
        <w:pStyle w:val="ListBullet"/>
      </w:pPr>
      <w:r>
        <w:t>Views on Care Teams effectiveness</w:t>
      </w:r>
    </w:p>
    <w:p>
      <w:pPr>
        <w:pStyle w:val="ListBullet"/>
      </w:pPr>
      <w:r>
        <w:t>Criteria for deserving assistance</w:t>
      </w:r>
    </w:p>
    <w:p>
      <w:pPr>
        <w:pStyle w:val="ListBullet"/>
      </w:pPr>
      <w:r>
        <w:t>Suggestions for improvement</w:t>
      </w:r>
    </w:p>
    <w:p>
      <w:pPr>
        <w:pStyle w:val="Heading4"/>
      </w:pPr>
      <w:r>
        <w:t>4.3.2 In-depth Interviews</w:t>
      </w:r>
    </w:p>
    <w:p>
      <w:r>
        <w:t>Number: 20-30 interviews</w:t>
      </w:r>
    </w:p>
    <w:p>
      <w:r>
        <w:t>Participants:</w:t>
      </w:r>
    </w:p>
    <w:p>
      <w:pPr>
        <w:pStyle w:val="ListBullet"/>
      </w:pPr>
      <w:r>
        <w:t>10 Care Team coordinators</w:t>
      </w:r>
    </w:p>
    <w:p>
      <w:pPr>
        <w:pStyle w:val="ListBullet"/>
      </w:pPr>
      <w:r>
        <w:t>5 District Officers</w:t>
      </w:r>
    </w:p>
    <w:p>
      <w:pPr>
        <w:pStyle w:val="ListBullet"/>
      </w:pPr>
      <w:r>
        <w:t>5 NGO leaders</w:t>
      </w:r>
    </w:p>
    <w:p>
      <w:pPr>
        <w:pStyle w:val="ListBullet"/>
      </w:pPr>
      <w:r>
        <w:t>5-10 Care Teams service recipients</w:t>
      </w:r>
    </w:p>
    <w:p>
      <w:r>
        <w:t>Duration: 45-60 minutes</w:t>
      </w:r>
    </w:p>
    <w:p>
      <w:r>
        <w:t>Topics:</w:t>
      </w:r>
    </w:p>
    <w:p>
      <w:pPr>
        <w:pStyle w:val="ListBullet"/>
      </w:pPr>
      <w:r>
        <w:t>Implementation experiences</w:t>
      </w:r>
    </w:p>
    <w:p>
      <w:pPr>
        <w:pStyle w:val="ListBullet"/>
      </w:pPr>
      <w:r>
        <w:t>Targeting decisions</w:t>
      </w:r>
    </w:p>
    <w:p>
      <w:pPr>
        <w:pStyle w:val="ListBullet"/>
      </w:pPr>
      <w:r>
        <w:t>Challenges and successes</w:t>
      </w:r>
    </w:p>
    <w:p>
      <w:pPr>
        <w:pStyle w:val="ListBullet"/>
      </w:pPr>
      <w:r>
        <w:t>Policy recommendations</w:t>
      </w:r>
    </w:p>
    <w:p>
      <w:pPr>
        <w:pStyle w:val="Heading4"/>
      </w:pPr>
      <w:r>
        <w:t>4.3.3 Qualitative Analysis</w:t>
      </w:r>
    </w:p>
    <w:p>
      <w:r>
        <w:t>Approach: Thematic analysis (Braun &amp; Clarke, 2006)</w:t>
      </w:r>
    </w:p>
    <w:p>
      <w:r>
        <w:t>Process:</w:t>
      </w:r>
    </w:p>
    <w:p>
      <w:pPr>
        <w:pStyle w:val="ListNumber"/>
      </w:pPr>
      <w:r>
        <w:t>Transcription and translation (where needed)</w:t>
      </w:r>
    </w:p>
    <w:p>
      <w:pPr>
        <w:pStyle w:val="ListNumber"/>
      </w:pPr>
      <w:r>
        <w:t>Familiarization with data</w:t>
      </w:r>
    </w:p>
    <w:p>
      <w:pPr>
        <w:pStyle w:val="ListNumber"/>
      </w:pPr>
      <w:r>
        <w:t>Initial coding</w:t>
      </w:r>
    </w:p>
    <w:p>
      <w:pPr>
        <w:pStyle w:val="ListNumber"/>
      </w:pPr>
      <w:r>
        <w:t>Theme development</w:t>
      </w:r>
    </w:p>
    <w:p>
      <w:pPr>
        <w:pStyle w:val="ListNumber"/>
      </w:pPr>
      <w:r>
        <w:t>Theme review and refinement</w:t>
      </w:r>
    </w:p>
    <w:p>
      <w:pPr>
        <w:pStyle w:val="ListNumber"/>
      </w:pPr>
      <w:r>
        <w:t>Final analysis and reporting</w:t>
      </w:r>
    </w:p>
    <w:p>
      <w:r>
        <w:t>Software: NVivo 14</w:t>
      </w:r>
    </w:p>
    <w:p>
      <w:r>
        <w:t>Rigor:</w:t>
      </w:r>
    </w:p>
    <w:p>
      <w:pPr>
        <w:pStyle w:val="ListBullet"/>
      </w:pPr>
      <w:r>
        <w:t>Dual coding by two researchers</w:t>
      </w:r>
    </w:p>
    <w:p>
      <w:pPr>
        <w:pStyle w:val="ListBullet"/>
      </w:pPr>
      <w:r>
        <w:t>Member checking with selected participants</w:t>
      </w:r>
    </w:p>
    <w:p>
      <w:pPr>
        <w:pStyle w:val="ListBullet"/>
      </w:pPr>
      <w:r>
        <w:t>Peer debriefing</w:t>
      </w:r>
    </w:p>
    <w:p>
      <w:pPr>
        <w:pStyle w:val="ListBullet"/>
      </w:pPr>
      <w:r>
        <w:t>Audit trail documentation</w:t>
      </w:r>
    </w:p>
    <w:p>
      <w:pPr>
        <w:pStyle w:val="Heading3"/>
      </w:pPr>
      <w:r>
        <w:t>4.4 Integration of Findings</w:t>
      </w:r>
    </w:p>
    <w:p>
      <w:r>
        <w:t>Quantitative and qualitative findings will be integrated through:</w:t>
      </w:r>
    </w:p>
    <w:p>
      <w:pPr>
        <w:pStyle w:val="ListBullet"/>
      </w:pPr>
      <w:r>
        <w:t>Joint display tables comparing survey results with interview themes</w:t>
      </w:r>
    </w:p>
    <w:p>
      <w:pPr>
        <w:pStyle w:val="ListBullet"/>
      </w:pPr>
      <w:r>
        <w:t>Explanatory sequential analysis (qualitative explaining quantitative patterns)</w:t>
      </w:r>
    </w:p>
    <w:p>
      <w:pPr>
        <w:pStyle w:val="ListBullet"/>
      </w:pPr>
      <w:r>
        <w:t>Triangulation of findings across methods</w:t>
      </w:r>
    </w:p>
    <w:p>
      <w:pPr>
        <w:pStyle w:val="Heading3"/>
      </w:pPr>
      <w:r>
        <w:t>4.5 Ethical Considerations</w:t>
      </w:r>
    </w:p>
    <w:p>
      <w:r>
        <w:t>Ethics Approval: [Institution] Survey and Behavioural Research Ethics Committee</w:t>
      </w:r>
    </w:p>
    <w:p>
      <w:r>
        <w:t>Informed Consent: Written consent for interviews; verbal consent for telephone surveys</w:t>
      </w:r>
    </w:p>
    <w:p>
      <w:r>
        <w:t>Confidentiality:</w:t>
      </w:r>
    </w:p>
    <w:p>
      <w:pPr>
        <w:pStyle w:val="ListBullet"/>
      </w:pPr>
      <w:r>
        <w:t>All data anonymized</w:t>
      </w:r>
    </w:p>
    <w:p>
      <w:pPr>
        <w:pStyle w:val="ListBullet"/>
      </w:pPr>
      <w:r>
        <w:t>Secure storage with password protection</w:t>
      </w:r>
    </w:p>
    <w:p>
      <w:pPr>
        <w:pStyle w:val="ListBullet"/>
      </w:pPr>
      <w:r>
        <w:t>Data retention per university policy</w:t>
      </w:r>
    </w:p>
    <w:p>
      <w:r>
        <w:t>Vulnerable Populations: Special protocols for elderly participants</w:t>
      </w:r>
    </w:p>
    <w:p/>
    <w:p>
      <w:pPr>
        <w:pStyle w:val="Heading2"/>
      </w:pPr>
      <w:r>
        <w:t>5. Expected Outcomes and Deliverables</w:t>
      </w:r>
    </w:p>
    <w:p>
      <w:pPr>
        <w:pStyle w:val="Heading3"/>
      </w:pPr>
      <w:r>
        <w:t>5.1 Research Outputs</w:t>
      </w:r>
    </w:p>
    <w:p>
      <w:pPr>
        <w:pStyle w:val="ListNumber"/>
      </w:pPr>
      <w:r>
        <w:t>**Comprehensive Dataset**</w:t>
      </w:r>
    </w:p>
    <w:p>
      <w:r>
        <w:t>- Territory-wide survey data on deservingness perceptions</w:t>
      </w:r>
    </w:p>
    <w:p>
      <w:r>
        <w:t>- Qualitative data on stakeholder perspectives</w:t>
      </w:r>
    </w:p>
    <w:p>
      <w:pPr>
        <w:pStyle w:val="ListNumber"/>
      </w:pPr>
      <w:r>
        <w:t>**Validated Instruments**</w:t>
      </w:r>
    </w:p>
    <w:p>
      <w:r>
        <w:t>- Hong Kong-adapted CARIN scale</w:t>
      </w:r>
    </w:p>
    <w:p>
      <w:r>
        <w:t>- Care Teams evaluation measures</w:t>
      </w:r>
    </w:p>
    <w:p>
      <w:pPr>
        <w:pStyle w:val="ListNumber"/>
      </w:pPr>
      <w:r>
        <w:t>**Analytical Reports**</w:t>
      </w:r>
    </w:p>
    <w:p>
      <w:r>
        <w:t>- District-level analysis of deservingness patterns</w:t>
      </w:r>
    </w:p>
    <w:p>
      <w:r>
        <w:t>- Agenda alignment assessment</w:t>
      </w:r>
    </w:p>
    <w:p>
      <w:pPr>
        <w:pStyle w:val="Heading3"/>
      </w:pPr>
      <w:r>
        <w:t>5.2 Academic Outputs</w:t>
      </w:r>
    </w:p>
    <w:p>
      <w:pPr>
        <w:pStyle w:val="ListNumber"/>
      </w:pPr>
      <w:r>
        <w:t>**Peer-reviewed Publications**</w:t>
      </w:r>
    </w:p>
    <w:p>
      <w:r>
        <w:t>- 2-3 journal articles in international journals (e.g., Social Policy &amp; Administration, Journal of Social Policy)</w:t>
      </w:r>
    </w:p>
    <w:p>
      <w:r>
        <w:t>- 1-2 articles in local journals (e.g., Hong Kong Journal of Social Work)</w:t>
      </w:r>
    </w:p>
    <w:p>
      <w:pPr>
        <w:pStyle w:val="ListNumber"/>
      </w:pPr>
      <w:r>
        <w:t>**Conference Presentations**</w:t>
      </w:r>
    </w:p>
    <w:p>
      <w:r>
        <w:t>- International: EASP, APPAM, or similar</w:t>
      </w:r>
    </w:p>
    <w:p>
      <w:r>
        <w:t>- Local: HKSS, HKASW conferences</w:t>
      </w:r>
    </w:p>
    <w:p>
      <w:pPr>
        <w:pStyle w:val="Heading3"/>
      </w:pPr>
      <w:r>
        <w:t>5.3 Policy Outputs</w:t>
      </w:r>
    </w:p>
    <w:p>
      <w:pPr>
        <w:pStyle w:val="ListNumber"/>
      </w:pPr>
      <w:r>
        <w:t>**Policy Brief**</w:t>
      </w:r>
    </w:p>
    <w:p>
      <w:r>
        <w:t>- Executive summary for government stakeholders</w:t>
      </w:r>
    </w:p>
    <w:p>
      <w:r>
        <w:t>- Infographic summaries</w:t>
      </w:r>
    </w:p>
    <w:p>
      <w:pPr>
        <w:pStyle w:val="ListNumber"/>
      </w:pPr>
      <w:r>
        <w:t>**Recommendations Report**</w:t>
      </w:r>
    </w:p>
    <w:p>
      <w:r>
        <w:t>- Detailed policy recommendations</w:t>
      </w:r>
    </w:p>
    <w:p>
      <w:r>
        <w:t>- Implementation guidelines</w:t>
      </w:r>
    </w:p>
    <w:p>
      <w:pPr>
        <w:pStyle w:val="ListNumber"/>
      </w:pPr>
      <w:r>
        <w:t>**Stakeholder Presentations**</w:t>
      </w:r>
    </w:p>
    <w:p>
      <w:r>
        <w:t>- Briefings for Home Affairs Department</w:t>
      </w:r>
    </w:p>
    <w:p>
      <w:r>
        <w:t>- District-level presentations</w:t>
      </w:r>
    </w:p>
    <w:p/>
    <w:p>
      <w:pPr>
        <w:pStyle w:val="Heading2"/>
      </w:pPr>
      <w:r>
        <w:t>6. Policy Implications and Recommendations</w:t>
      </w:r>
    </w:p>
    <w:p>
      <w:pPr>
        <w:pStyle w:val="Heading3"/>
      </w:pPr>
      <w:r>
        <w:t>6.1 Anticipated Policy Contributions</w:t>
      </w:r>
    </w:p>
    <w:p>
      <w:r>
        <w:t>Based on the research design and theoretical framework, this study is expected to provide:</w:t>
      </w:r>
    </w:p>
    <w:p>
      <w:pPr>
        <w:pStyle w:val="ListNumber"/>
      </w:pPr>
      <w:r>
        <w:t>**Evidence for Resource Allocation**</w:t>
      </w:r>
    </w:p>
    <w:p>
      <w:r>
        <w:t>- Data on public priorities for Care Teams services</w:t>
      </w:r>
    </w:p>
    <w:p>
      <w:r>
        <w:t>- Identification of underserved populations</w:t>
      </w:r>
    </w:p>
    <w:p>
      <w:pPr>
        <w:pStyle w:val="ListNumber"/>
      </w:pPr>
      <w:r>
        <w:t>**Targeting Guidance**</w:t>
      </w:r>
    </w:p>
    <w:p>
      <w:r>
        <w:t>- Criteria for identifying deserving recipients</w:t>
      </w:r>
    </w:p>
    <w:p>
      <w:r>
        <w:t>- Balancing public preferences with policy objectives</w:t>
      </w:r>
    </w:p>
    <w:p>
      <w:pPr>
        <w:pStyle w:val="ListNumber"/>
      </w:pPr>
      <w:r>
        <w:t>**Communication Strategies**</w:t>
      </w:r>
    </w:p>
    <w:p>
      <w:r>
        <w:t>- Understanding of public perceptions</w:t>
      </w:r>
    </w:p>
    <w:p>
      <w:r>
        <w:t>- Recommendations for public engagement</w:t>
      </w:r>
    </w:p>
    <w:p>
      <w:pPr>
        <w:pStyle w:val="ListNumber"/>
      </w:pPr>
      <w:r>
        <w:t>**Performance Indicators**</w:t>
      </w:r>
    </w:p>
    <w:p>
      <w:r>
        <w:t>- Metrics for evaluating Care Teams effectiveness</w:t>
      </w:r>
    </w:p>
    <w:p>
      <w:r>
        <w:t>- Benchmarks for district comparisons</w:t>
      </w:r>
    </w:p>
    <w:p>
      <w:pPr>
        <w:pStyle w:val="Heading3"/>
      </w:pPr>
      <w:r>
        <w:t>6.2 Preliminary Recommendation Framework</w:t>
      </w:r>
    </w:p>
    <w:p>
      <w:r>
        <w:t>Short-term (within 1 year):</w:t>
      </w:r>
    </w:p>
    <w:p>
      <w:pPr>
        <w:pStyle w:val="ListBullet"/>
      </w:pPr>
      <w:r>
        <w:t>Develop standardized needs assessment tools</w:t>
      </w:r>
    </w:p>
    <w:p>
      <w:pPr>
        <w:pStyle w:val="ListBullet"/>
      </w:pPr>
      <w:r>
        <w:t>Establish feedback mechanisms for service recipients</w:t>
      </w:r>
    </w:p>
    <w:p>
      <w:r>
        <w:t>Medium-term (1-3 years):</w:t>
      </w:r>
    </w:p>
    <w:p>
      <w:pPr>
        <w:pStyle w:val="ListBullet"/>
      </w:pPr>
      <w:r>
        <w:t>Implement targeted outreach based on deservingness research</w:t>
      </w:r>
    </w:p>
    <w:p>
      <w:pPr>
        <w:pStyle w:val="ListBullet"/>
      </w:pPr>
      <w:r>
        <w:t>Develop training programs incorporating public preference data</w:t>
      </w:r>
    </w:p>
    <w:p>
      <w:r>
        <w:t>Long-term (3+ years):</w:t>
      </w:r>
    </w:p>
    <w:p>
      <w:pPr>
        <w:pStyle w:val="ListBullet"/>
      </w:pPr>
      <w:r>
        <w:t>Integrate findings into district governance framework</w:t>
      </w:r>
    </w:p>
    <w:p>
      <w:pPr>
        <w:pStyle w:val="ListBullet"/>
      </w:pPr>
      <w:r>
        <w:t>Establish ongoing monitoring system</w:t>
      </w:r>
    </w:p>
    <w:p/>
    <w:p>
      <w:pPr>
        <w:pStyle w:val="Heading2"/>
      </w:pPr>
      <w:r>
        <w:t>7. Work Plan and Timeline</w:t>
      </w:r>
    </w:p>
    <w:p>
      <w:pPr>
        <w:pStyle w:val="Heading3"/>
      </w:pPr>
      <w:r>
        <w:t>18-Month Project Timeline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Activities</w:t>
            </w:r>
          </w:p>
        </w:tc>
        <w:tc>
          <w:tcPr>
            <w:tcW w:type="dxa" w:w="2160"/>
          </w:tcPr>
          <w:p>
            <w:r>
              <w:t>Months</w:t>
            </w:r>
          </w:p>
        </w:tc>
        <w:tc>
          <w:tcPr>
            <w:tcW w:type="dxa" w:w="2160"/>
          </w:tcPr>
          <w:p>
            <w:r>
              <w:t>Deliverables</w:t>
            </w:r>
          </w:p>
        </w:tc>
      </w:tr>
      <w:tr>
        <w:tc>
          <w:tcPr>
            <w:tcW w:type="dxa" w:w="2160"/>
          </w:tcPr>
          <w:p>
            <w:r>
              <w:t>1. Preparation</w:t>
            </w:r>
          </w:p>
        </w:tc>
        <w:tc>
          <w:tcPr>
            <w:tcW w:type="dxa" w:w="2160"/>
          </w:tcPr>
          <w:p>
            <w:r>
              <w:t>Literature review, instrument development, ethics approval</w:t>
            </w:r>
          </w:p>
        </w:tc>
        <w:tc>
          <w:tcPr>
            <w:tcW w:type="dxa" w:w="2160"/>
          </w:tcPr>
          <w:p>
            <w:r>
              <w:t>1-3</w:t>
            </w:r>
          </w:p>
        </w:tc>
        <w:tc>
          <w:tcPr>
            <w:tcW w:type="dxa" w:w="2160"/>
          </w:tcPr>
          <w:p>
            <w:r>
              <w:t>Literature review report, draft instruments</w:t>
            </w:r>
          </w:p>
        </w:tc>
      </w:tr>
      <w:tr>
        <w:tc>
          <w:tcPr>
            <w:tcW w:type="dxa" w:w="2160"/>
          </w:tcPr>
          <w:p>
            <w:r>
              <w:t>2. Pilot Study</w:t>
            </w:r>
          </w:p>
        </w:tc>
        <w:tc>
          <w:tcPr>
            <w:tcW w:type="dxa" w:w="2160"/>
          </w:tcPr>
          <w:p>
            <w:r>
              <w:t>Pilot testing, instrument refinement</w:t>
            </w:r>
          </w:p>
        </w:tc>
        <w:tc>
          <w:tcPr>
            <w:tcW w:type="dxa" w:w="2160"/>
          </w:tcPr>
          <w:p>
            <w:r>
              <w:t>4-5</w:t>
            </w:r>
          </w:p>
        </w:tc>
        <w:tc>
          <w:tcPr>
            <w:tcW w:type="dxa" w:w="2160"/>
          </w:tcPr>
          <w:p>
            <w:r>
              <w:t>Finalized instruments</w:t>
            </w:r>
          </w:p>
        </w:tc>
      </w:tr>
      <w:tr>
        <w:tc>
          <w:tcPr>
            <w:tcW w:type="dxa" w:w="2160"/>
          </w:tcPr>
          <w:p>
            <w:r>
              <w:t>3. Quantitative Data Collection</w:t>
            </w:r>
          </w:p>
        </w:tc>
        <w:tc>
          <w:tcPr>
            <w:tcW w:type="dxa" w:w="2160"/>
          </w:tcPr>
          <w:p>
            <w:r>
              <w:t>Survey administration</w:t>
            </w:r>
          </w:p>
        </w:tc>
        <w:tc>
          <w:tcPr>
            <w:tcW w:type="dxa" w:w="2160"/>
          </w:tcPr>
          <w:p>
            <w:r>
              <w:t>6-10</w:t>
            </w:r>
          </w:p>
        </w:tc>
        <w:tc>
          <w:tcPr>
            <w:tcW w:type="dxa" w:w="2160"/>
          </w:tcPr>
          <w:p>
            <w:r>
              <w:t>Raw survey data</w:t>
            </w:r>
          </w:p>
        </w:tc>
      </w:tr>
      <w:tr>
        <w:tc>
          <w:tcPr>
            <w:tcW w:type="dxa" w:w="2160"/>
          </w:tcPr>
          <w:p>
            <w:r>
              <w:t>4. Qualitative Data Collection</w:t>
            </w:r>
          </w:p>
        </w:tc>
        <w:tc>
          <w:tcPr>
            <w:tcW w:type="dxa" w:w="2160"/>
          </w:tcPr>
          <w:p>
            <w:r>
              <w:t>Focus groups, interviews</w:t>
            </w:r>
          </w:p>
        </w:tc>
        <w:tc>
          <w:tcPr>
            <w:tcW w:type="dxa" w:w="2160"/>
          </w:tcPr>
          <w:p>
            <w:r>
              <w:t>8-12</w:t>
            </w:r>
          </w:p>
        </w:tc>
        <w:tc>
          <w:tcPr>
            <w:tcW w:type="dxa" w:w="2160"/>
          </w:tcPr>
          <w:p>
            <w:r>
              <w:t>Transcripts, field notes</w:t>
            </w:r>
          </w:p>
        </w:tc>
      </w:tr>
      <w:tr>
        <w:tc>
          <w:tcPr>
            <w:tcW w:type="dxa" w:w="2160"/>
          </w:tcPr>
          <w:p>
            <w:r>
              <w:t>5. Data Analysis</w:t>
            </w:r>
          </w:p>
        </w:tc>
        <w:tc>
          <w:tcPr>
            <w:tcW w:type="dxa" w:w="2160"/>
          </w:tcPr>
          <w:p>
            <w:r>
              <w:t>Statistical and thematic analysis</w:t>
            </w:r>
          </w:p>
        </w:tc>
        <w:tc>
          <w:tcPr>
            <w:tcW w:type="dxa" w:w="2160"/>
          </w:tcPr>
          <w:p>
            <w:r>
              <w:t>11-14</w:t>
            </w:r>
          </w:p>
        </w:tc>
        <w:tc>
          <w:tcPr>
            <w:tcW w:type="dxa" w:w="2160"/>
          </w:tcPr>
          <w:p>
            <w:r>
              <w:t>Analysis reports</w:t>
            </w:r>
          </w:p>
        </w:tc>
      </w:tr>
      <w:tr>
        <w:tc>
          <w:tcPr>
            <w:tcW w:type="dxa" w:w="2160"/>
          </w:tcPr>
          <w:p>
            <w:r>
              <w:t>6. Report Writing</w:t>
            </w:r>
          </w:p>
        </w:tc>
        <w:tc>
          <w:tcPr>
            <w:tcW w:type="dxa" w:w="2160"/>
          </w:tcPr>
          <w:p>
            <w:r>
              <w:t>Draft and final reports</w:t>
            </w:r>
          </w:p>
        </w:tc>
        <w:tc>
          <w:tcPr>
            <w:tcW w:type="dxa" w:w="2160"/>
          </w:tcPr>
          <w:p>
            <w:r>
              <w:t>14-17</w:t>
            </w:r>
          </w:p>
        </w:tc>
        <w:tc>
          <w:tcPr>
            <w:tcW w:type="dxa" w:w="2160"/>
          </w:tcPr>
          <w:p>
            <w:r>
              <w:t>Draft report, final report</w:t>
            </w:r>
          </w:p>
        </w:tc>
      </w:tr>
      <w:tr>
        <w:tc>
          <w:tcPr>
            <w:tcW w:type="dxa" w:w="2160"/>
          </w:tcPr>
          <w:p>
            <w:r>
              <w:t>7. Dissemination</w:t>
            </w:r>
          </w:p>
        </w:tc>
        <w:tc>
          <w:tcPr>
            <w:tcW w:type="dxa" w:w="2160"/>
          </w:tcPr>
          <w:p>
            <w:r>
              <w:t>Publications, presentations</w:t>
            </w:r>
          </w:p>
        </w:tc>
        <w:tc>
          <w:tcPr>
            <w:tcW w:type="dxa" w:w="2160"/>
          </w:tcPr>
          <w:p>
            <w:r>
              <w:t>16-18</w:t>
            </w:r>
          </w:p>
        </w:tc>
        <w:tc>
          <w:tcPr>
            <w:tcW w:type="dxa" w:w="2160"/>
          </w:tcPr>
          <w:p>
            <w:r>
              <w:t>Journal submissions, policy briefs</w:t>
            </w:r>
          </w:p>
        </w:tc>
      </w:tr>
    </w:tbl>
    <w:p/>
    <w:p>
      <w:pPr>
        <w:pStyle w:val="Heading3"/>
      </w:pPr>
      <w:r>
        <w:t>Detailed Gantt Chart</w:t>
      </w:r>
    </w:p>
    <w:p>
      <w:pPr/>
      <w:r>
        <w:rPr>
          <w:rFonts w:ascii="Courier New" w:hAnsi="Courier New"/>
          <w:sz w:val="20"/>
        </w:rPr>
        <w:t>Month:        1  2  3  4  5  6  7  8  9  10 11 12 13 14 15 16 17 18</w:t>
        <w:br/>
      </w:r>
      <w:r>
        <w:rPr>
          <w:rFonts w:ascii="Courier New" w:hAnsi="Courier New"/>
          <w:sz w:val="20"/>
        </w:rPr>
        <w:t>Literature    ████</w:t>
        <w:br/>
      </w:r>
      <w:r>
        <w:rPr>
          <w:rFonts w:ascii="Courier New" w:hAnsi="Courier New"/>
          <w:sz w:val="20"/>
        </w:rPr>
        <w:t>Ethics        ████</w:t>
        <w:br/>
      </w:r>
      <w:r>
        <w:rPr>
          <w:rFonts w:ascii="Courier New" w:hAnsi="Courier New"/>
          <w:sz w:val="20"/>
        </w:rPr>
        <w:t>Instrument       ████</w:t>
        <w:br/>
      </w:r>
      <w:r>
        <w:rPr>
          <w:rFonts w:ascii="Courier New" w:hAnsi="Courier New"/>
          <w:sz w:val="20"/>
        </w:rPr>
        <w:t>Pilot               ████</w:t>
        <w:br/>
      </w:r>
      <w:r>
        <w:rPr>
          <w:rFonts w:ascii="Courier New" w:hAnsi="Courier New"/>
          <w:sz w:val="20"/>
        </w:rPr>
        <w:t>Survey                  ████████████</w:t>
        <w:br/>
      </w:r>
      <w:r>
        <w:rPr>
          <w:rFonts w:ascii="Courier New" w:hAnsi="Courier New"/>
          <w:sz w:val="20"/>
        </w:rPr>
        <w:t>Focus Groups                     ████████</w:t>
        <w:br/>
      </w:r>
      <w:r>
        <w:rPr>
          <w:rFonts w:ascii="Courier New" w:hAnsi="Courier New"/>
          <w:sz w:val="20"/>
        </w:rPr>
        <w:t>Interviews                          ████████</w:t>
        <w:br/>
      </w:r>
      <w:r>
        <w:rPr>
          <w:rFonts w:ascii="Courier New" w:hAnsi="Courier New"/>
          <w:sz w:val="20"/>
        </w:rPr>
        <w:t>Quant Analysis                              ████████</w:t>
        <w:br/>
      </w:r>
      <w:r>
        <w:rPr>
          <w:rFonts w:ascii="Courier New" w:hAnsi="Courier New"/>
          <w:sz w:val="20"/>
        </w:rPr>
        <w:t>Qual Analysis                                  ████████</w:t>
        <w:br/>
      </w:r>
      <w:r>
        <w:rPr>
          <w:rFonts w:ascii="Courier New" w:hAnsi="Courier New"/>
          <w:sz w:val="20"/>
        </w:rPr>
        <w:t>Report Writing                                       ████████</w:t>
        <w:br/>
      </w:r>
      <w:r>
        <w:rPr>
          <w:rFonts w:ascii="Courier New" w:hAnsi="Courier New"/>
          <w:sz w:val="20"/>
        </w:rPr>
        <w:t>Dissemination                                              ██████</w:t>
        <w:br/>
      </w:r>
    </w:p>
    <w:p/>
    <w:p>
      <w:pPr>
        <w:pStyle w:val="Heading2"/>
      </w:pPr>
      <w:r>
        <w:t>8. Budget</w:t>
      </w:r>
    </w:p>
    <w:p>
      <w:pPr>
        <w:pStyle w:val="Heading3"/>
      </w:pPr>
      <w:r>
        <w:t>8.1 Budget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Amount (HKD)</w:t>
            </w:r>
          </w:p>
        </w:tc>
        <w:tc>
          <w:tcPr>
            <w:tcW w:type="dxa" w:w="2880"/>
          </w:tcPr>
          <w:p>
            <w:r>
              <w:t>Percentage</w:t>
            </w:r>
          </w:p>
        </w:tc>
      </w:tr>
      <w:tr>
        <w:tc>
          <w:tcPr>
            <w:tcW w:type="dxa" w:w="2880"/>
          </w:tcPr>
          <w:p>
            <w:r>
              <w:t>Personnel</w:t>
            </w:r>
          </w:p>
        </w:tc>
        <w:tc>
          <w:tcPr>
            <w:tcW w:type="dxa" w:w="2880"/>
          </w:tcPr>
          <w:p>
            <w:r>
              <w:t>450,000</w:t>
            </w:r>
          </w:p>
        </w:tc>
        <w:tc>
          <w:tcPr>
            <w:tcW w:type="dxa" w:w="2880"/>
          </w:tcPr>
          <w:p>
            <w:r>
              <w:t>52%</w:t>
            </w:r>
          </w:p>
        </w:tc>
      </w:tr>
      <w:tr>
        <w:tc>
          <w:tcPr>
            <w:tcW w:type="dxa" w:w="2880"/>
          </w:tcPr>
          <w:p>
            <w:r>
              <w:t>Data Collection</w:t>
            </w:r>
          </w:p>
        </w:tc>
        <w:tc>
          <w:tcPr>
            <w:tcW w:type="dxa" w:w="2880"/>
          </w:tcPr>
          <w:p>
            <w:r>
              <w:t>280,000</w:t>
            </w:r>
          </w:p>
        </w:tc>
        <w:tc>
          <w:tcPr>
            <w:tcW w:type="dxa" w:w="2880"/>
          </w:tcPr>
          <w:p>
            <w:r>
              <w:t>32%</w:t>
            </w:r>
          </w:p>
        </w:tc>
      </w:tr>
      <w:tr>
        <w:tc>
          <w:tcPr>
            <w:tcW w:type="dxa" w:w="2880"/>
          </w:tcPr>
          <w:p>
            <w:r>
              <w:t>Other Costs</w:t>
            </w:r>
          </w:p>
        </w:tc>
        <w:tc>
          <w:tcPr>
            <w:tcW w:type="dxa" w:w="2880"/>
          </w:tcPr>
          <w:p>
            <w:r>
              <w:t>140,000</w:t>
            </w:r>
          </w:p>
        </w:tc>
        <w:tc>
          <w:tcPr>
            <w:tcW w:type="dxa" w:w="2880"/>
          </w:tcPr>
          <w:p>
            <w:r>
              <w:t>16%</w:t>
            </w:r>
          </w:p>
        </w:tc>
      </w:tr>
      <w:tr>
        <w:tc>
          <w:tcPr>
            <w:tcW w:type="dxa" w:w="2880"/>
          </w:tcPr>
          <w:p>
            <w:r>
              <w:t>**Total**</w:t>
            </w:r>
          </w:p>
        </w:tc>
        <w:tc>
          <w:tcPr>
            <w:tcW w:type="dxa" w:w="2880"/>
          </w:tcPr>
          <w:p>
            <w:r>
              <w:t>**870,000**</w:t>
            </w:r>
          </w:p>
        </w:tc>
        <w:tc>
          <w:tcPr>
            <w:tcW w:type="dxa" w:w="2880"/>
          </w:tcPr>
          <w:p>
            <w:r>
              <w:t>**100%**</w:t>
            </w:r>
          </w:p>
        </w:tc>
      </w:tr>
    </w:tbl>
    <w:p/>
    <w:p>
      <w:pPr>
        <w:pStyle w:val="Heading3"/>
      </w:pPr>
      <w:r>
        <w:t>8.2 Detailed Budget Breakdown</w:t>
      </w:r>
    </w:p>
    <w:p>
      <w:r>
        <w:t>A. Personnel Costs (HKD 450,000)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Position</w:t>
            </w:r>
          </w:p>
        </w:tc>
        <w:tc>
          <w:tcPr>
            <w:tcW w:type="dxa" w:w="2160"/>
          </w:tcPr>
          <w:p>
            <w:r>
              <w:t>Duration</w:t>
            </w:r>
          </w:p>
        </w:tc>
        <w:tc>
          <w:tcPr>
            <w:tcW w:type="dxa" w:w="2160"/>
          </w:tcPr>
          <w:p>
            <w:r>
              <w:t>Monthly Rate</w:t>
            </w:r>
          </w:p>
        </w:tc>
        <w:tc>
          <w:tcPr>
            <w:tcW w:type="dxa" w:w="2160"/>
          </w:tcPr>
          <w:p>
            <w:r>
              <w:t>Total</w:t>
            </w:r>
          </w:p>
        </w:tc>
      </w:tr>
      <w:tr>
        <w:tc>
          <w:tcPr>
            <w:tcW w:type="dxa" w:w="2160"/>
          </w:tcPr>
          <w:p>
            <w:r>
              <w:t>Research Assistant (Full-time)</w:t>
            </w:r>
          </w:p>
        </w:tc>
        <w:tc>
          <w:tcPr>
            <w:tcW w:type="dxa" w:w="2160"/>
          </w:tcPr>
          <w:p>
            <w:r>
              <w:t>18 months</w:t>
            </w:r>
          </w:p>
        </w:tc>
        <w:tc>
          <w:tcPr>
            <w:tcW w:type="dxa" w:w="2160"/>
          </w:tcPr>
          <w:p>
            <w:r>
              <w:t>22,000</w:t>
            </w:r>
          </w:p>
        </w:tc>
        <w:tc>
          <w:tcPr>
            <w:tcW w:type="dxa" w:w="2160"/>
          </w:tcPr>
          <w:p>
            <w:r>
              <w:t>396,000</w:t>
            </w:r>
          </w:p>
        </w:tc>
      </w:tr>
      <w:tr>
        <w:tc>
          <w:tcPr>
            <w:tcW w:type="dxa" w:w="2160"/>
          </w:tcPr>
          <w:p>
            <w:r>
              <w:t>Part-time Research Assistants</w:t>
            </w:r>
          </w:p>
        </w:tc>
        <w:tc>
          <w:tcPr>
            <w:tcW w:type="dxa" w:w="2160"/>
          </w:tcPr>
          <w:p>
            <w:r>
              <w:t>6 months</w:t>
            </w:r>
          </w:p>
        </w:tc>
        <w:tc>
          <w:tcPr>
            <w:tcW w:type="dxa" w:w="2160"/>
          </w:tcPr>
          <w:p>
            <w:r>
              <w:t>9,000</w:t>
            </w:r>
          </w:p>
        </w:tc>
        <w:tc>
          <w:tcPr>
            <w:tcW w:type="dxa" w:w="2160"/>
          </w:tcPr>
          <w:p>
            <w:r>
              <w:t>54,000</w:t>
            </w:r>
          </w:p>
        </w:tc>
      </w:tr>
    </w:tbl>
    <w:p/>
    <w:p>
      <w:r>
        <w:t>B. Data Collection Costs (HKD 280,000)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Unit Cost</w:t>
            </w:r>
          </w:p>
        </w:tc>
        <w:tc>
          <w:tcPr>
            <w:tcW w:type="dxa" w:w="2160"/>
          </w:tcPr>
          <w:p>
            <w:r>
              <w:t>Quantity</w:t>
            </w:r>
          </w:p>
        </w:tc>
        <w:tc>
          <w:tcPr>
            <w:tcW w:type="dxa" w:w="2160"/>
          </w:tcPr>
          <w:p>
            <w:r>
              <w:t>Total</w:t>
            </w:r>
          </w:p>
        </w:tc>
      </w:tr>
      <w:tr>
        <w:tc>
          <w:tcPr>
            <w:tcW w:type="dxa" w:w="2160"/>
          </w:tcPr>
          <w:p>
            <w:r>
              <w:t>Telephone survey (CATI)</w:t>
            </w:r>
          </w:p>
        </w:tc>
        <w:tc>
          <w:tcPr>
            <w:tcW w:type="dxa" w:w="2160"/>
          </w:tcPr>
          <w:p>
            <w:r>
              <w:t>120/respondent</w:t>
            </w:r>
          </w:p>
        </w:tc>
        <w:tc>
          <w:tcPr>
            <w:tcW w:type="dxa" w:w="2160"/>
          </w:tcPr>
          <w:p>
            <w:r>
              <w:t>1,800</w:t>
            </w:r>
          </w:p>
        </w:tc>
        <w:tc>
          <w:tcPr>
            <w:tcW w:type="dxa" w:w="2160"/>
          </w:tcPr>
          <w:p>
            <w:r>
              <w:t>216,000</w:t>
            </w:r>
          </w:p>
        </w:tc>
      </w:tr>
      <w:tr>
        <w:tc>
          <w:tcPr>
            <w:tcW w:type="dxa" w:w="2160"/>
          </w:tcPr>
          <w:p>
            <w:r>
              <w:t>Focus group incentives</w:t>
            </w:r>
          </w:p>
        </w:tc>
        <w:tc>
          <w:tcPr>
            <w:tcW w:type="dxa" w:w="2160"/>
          </w:tcPr>
          <w:p>
            <w:r>
              <w:t>300/participant</w:t>
            </w:r>
          </w:p>
        </w:tc>
        <w:tc>
          <w:tcPr>
            <w:tcW w:type="dxa" w:w="2160"/>
          </w:tcPr>
          <w:p>
            <w:r>
              <w:t>80</w:t>
            </w:r>
          </w:p>
        </w:tc>
        <w:tc>
          <w:tcPr>
            <w:tcW w:type="dxa" w:w="2160"/>
          </w:tcPr>
          <w:p>
            <w:r>
              <w:t>24,000</w:t>
            </w:r>
          </w:p>
        </w:tc>
      </w:tr>
      <w:tr>
        <w:tc>
          <w:tcPr>
            <w:tcW w:type="dxa" w:w="2160"/>
          </w:tcPr>
          <w:p>
            <w:r>
              <w:t>Interview incentives</w:t>
            </w:r>
          </w:p>
        </w:tc>
        <w:tc>
          <w:tcPr>
            <w:tcW w:type="dxa" w:w="2160"/>
          </w:tcPr>
          <w:p>
            <w:r>
              <w:t>200/participant</w:t>
            </w:r>
          </w:p>
        </w:tc>
        <w:tc>
          <w:tcPr>
            <w:tcW w:type="dxa" w:w="2160"/>
          </w:tcPr>
          <w:p>
            <w:r>
              <w:t>30</w:t>
            </w:r>
          </w:p>
        </w:tc>
        <w:tc>
          <w:tcPr>
            <w:tcW w:type="dxa" w:w="2160"/>
          </w:tcPr>
          <w:p>
            <w:r>
              <w:t>6,000</w:t>
            </w:r>
          </w:p>
        </w:tc>
      </w:tr>
      <w:tr>
        <w:tc>
          <w:tcPr>
            <w:tcW w:type="dxa" w:w="2160"/>
          </w:tcPr>
          <w:p>
            <w:r>
              <w:t>Transcription services</w:t>
            </w:r>
          </w:p>
        </w:tc>
        <w:tc>
          <w:tcPr>
            <w:tcW w:type="dxa" w:w="2160"/>
          </w:tcPr>
          <w:p>
            <w:r>
              <w:t>800/hour</w:t>
            </w:r>
          </w:p>
        </w:tc>
        <w:tc>
          <w:tcPr>
            <w:tcW w:type="dxa" w:w="2160"/>
          </w:tcPr>
          <w:p>
            <w:r>
              <w:t>40 hours</w:t>
            </w:r>
          </w:p>
        </w:tc>
        <w:tc>
          <w:tcPr>
            <w:tcW w:type="dxa" w:w="2160"/>
          </w:tcPr>
          <w:p>
            <w:r>
              <w:t>32,000</w:t>
            </w:r>
          </w:p>
        </w:tc>
      </w:tr>
      <w:tr>
        <w:tc>
          <w:tcPr>
            <w:tcW w:type="dxa" w:w="2160"/>
          </w:tcPr>
          <w:p>
            <w:r>
              <w:t>Venue rental</w:t>
            </w:r>
          </w:p>
        </w:tc>
        <w:tc>
          <w:tcPr>
            <w:tcW w:type="dxa" w:w="2160"/>
          </w:tcPr>
          <w:p>
            <w:r>
              <w:t>500/session</w:t>
            </w:r>
          </w:p>
        </w:tc>
        <w:tc>
          <w:tcPr>
            <w:tcW w:type="dxa" w:w="2160"/>
          </w:tcPr>
          <w:p>
            <w:r>
              <w:t>4</w:t>
            </w:r>
          </w:p>
        </w:tc>
        <w:tc>
          <w:tcPr>
            <w:tcW w:type="dxa" w:w="2160"/>
          </w:tcPr>
          <w:p>
            <w:r>
              <w:t>2,000</w:t>
            </w:r>
          </w:p>
        </w:tc>
      </w:tr>
    </w:tbl>
    <w:p/>
    <w:p>
      <w:r>
        <w:t>C. Other Costs (HKD 140,000)</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w:t>
            </w:r>
          </w:p>
        </w:tc>
      </w:tr>
      <w:tr>
        <w:tc>
          <w:tcPr>
            <w:tcW w:type="dxa" w:w="4320"/>
          </w:tcPr>
          <w:p>
            <w:r>
              <w:t>Software licenses (NVivo, Mplus)</w:t>
            </w:r>
          </w:p>
        </w:tc>
        <w:tc>
          <w:tcPr>
            <w:tcW w:type="dxa" w:w="4320"/>
          </w:tcPr>
          <w:p>
            <w:r>
              <w:t>30,000</w:t>
            </w:r>
          </w:p>
        </w:tc>
      </w:tr>
      <w:tr>
        <w:tc>
          <w:tcPr>
            <w:tcW w:type="dxa" w:w="4320"/>
          </w:tcPr>
          <w:p>
            <w:r>
              <w:t>Translation services</w:t>
            </w:r>
          </w:p>
        </w:tc>
        <w:tc>
          <w:tcPr>
            <w:tcW w:type="dxa" w:w="4320"/>
          </w:tcPr>
          <w:p>
            <w:r>
              <w:t>20,000</w:t>
            </w:r>
          </w:p>
        </w:tc>
      </w:tr>
      <w:tr>
        <w:tc>
          <w:tcPr>
            <w:tcW w:type="dxa" w:w="4320"/>
          </w:tcPr>
          <w:p>
            <w:r>
              <w:t>Conference travel</w:t>
            </w:r>
          </w:p>
        </w:tc>
        <w:tc>
          <w:tcPr>
            <w:tcW w:type="dxa" w:w="4320"/>
          </w:tcPr>
          <w:p>
            <w:r>
              <w:t>40,000</w:t>
            </w:r>
          </w:p>
        </w:tc>
      </w:tr>
      <w:tr>
        <w:tc>
          <w:tcPr>
            <w:tcW w:type="dxa" w:w="4320"/>
          </w:tcPr>
          <w:p>
            <w:r>
              <w:t>Publication fees</w:t>
            </w:r>
          </w:p>
        </w:tc>
        <w:tc>
          <w:tcPr>
            <w:tcW w:type="dxa" w:w="4320"/>
          </w:tcPr>
          <w:p>
            <w:r>
              <w:t>30,000</w:t>
            </w:r>
          </w:p>
        </w:tc>
      </w:tr>
      <w:tr>
        <w:tc>
          <w:tcPr>
            <w:tcW w:type="dxa" w:w="4320"/>
          </w:tcPr>
          <w:p>
            <w:r>
              <w:t>Miscellaneous (10%)</w:t>
            </w:r>
          </w:p>
        </w:tc>
        <w:tc>
          <w:tcPr>
            <w:tcW w:type="dxa" w:w="4320"/>
          </w:tcPr>
          <w:p>
            <w:r>
              <w:t>20,000</w:t>
            </w:r>
          </w:p>
        </w:tc>
      </w:tr>
    </w:tbl>
    <w:p/>
    <w:p>
      <w:pPr>
        <w:pStyle w:val="Heading3"/>
      </w:pPr>
      <w:r>
        <w:t>8.3 Budget Justification</w:t>
      </w:r>
    </w:p>
    <w:p>
      <w:pPr>
        <w:pStyle w:val="ListBullet"/>
      </w:pPr>
      <w:r>
        <w:t>**Personnel:** Full-time RA essential for project coordination, data collection supervision, and analysis support</w:t>
      </w:r>
    </w:p>
    <w:p>
      <w:pPr>
        <w:pStyle w:val="ListBullet"/>
      </w:pPr>
      <w:r>
        <w:t>**Survey costs:** Based on current market rates for CATI services in Hong Kong</w:t>
      </w:r>
    </w:p>
    <w:p>
      <w:pPr>
        <w:pStyle w:val="ListBullet"/>
      </w:pPr>
      <w:r>
        <w:t>**Incentives:** Standard rates to ensure adequate participation</w:t>
      </w:r>
    </w:p>
    <w:p>
      <w:pPr>
        <w:pStyle w:val="ListBullet"/>
      </w:pPr>
      <w:r>
        <w:t>**Software:** Required for advanced statistical analysis (Mplus) and qualitative analysis (NVivo)</w:t>
      </w:r>
    </w:p>
    <w:p/>
    <w:p>
      <w:pPr>
        <w:pStyle w:val="Heading2"/>
      </w:pPr>
      <w:r>
        <w:t>9. Research Team</w:t>
      </w:r>
    </w:p>
    <w:p>
      <w:pPr>
        <w:pStyle w:val="Heading3"/>
      </w:pPr>
      <w:r>
        <w:t>Principal Investigator</w:t>
      </w:r>
    </w:p>
    <w:p>
      <w:r>
        <w:t>[Name], [Title]</w:t>
      </w:r>
    </w:p>
    <w:p>
      <w:r>
        <w:t>[Department], [Institution]</w:t>
      </w:r>
    </w:p>
    <w:p>
      <w:r>
        <w:t>Expertise: [Relevant expertise in social policy, welfare studies, or related field]</w:t>
      </w:r>
    </w:p>
    <w:p>
      <w:r>
        <w:t>Role: Overall project leadership, research design, policy analysis, report writing</w:t>
      </w:r>
    </w:p>
    <w:p>
      <w:r>
        <w:t>Relevant Experience:</w:t>
      </w:r>
    </w:p>
    <w:p>
      <w:pPr>
        <w:pStyle w:val="ListBullet"/>
      </w:pPr>
      <w:r>
        <w:t>[Previous PPR or similar projects]</w:t>
      </w:r>
    </w:p>
    <w:p>
      <w:pPr>
        <w:pStyle w:val="ListBullet"/>
      </w:pPr>
      <w:r>
        <w:t>[Publications in relevant areas]</w:t>
      </w:r>
    </w:p>
    <w:p>
      <w:pPr>
        <w:pStyle w:val="Heading3"/>
      </w:pPr>
      <w:r>
        <w:t>Co-Investigators</w:t>
      </w:r>
    </w:p>
    <w:p>
      <w:r>
        <w:t>Co-I 1: [Name], [Title]</w:t>
      </w:r>
    </w:p>
    <w:p>
      <w:r>
        <w:t>[Department], [Institution]</w:t>
      </w:r>
    </w:p>
    <w:p>
      <w:r>
        <w:t>Expertise: Quantitative methods, survey research</w:t>
      </w:r>
    </w:p>
    <w:p>
      <w:r>
        <w:t>Role: Survey design, statistical analysis, SEM/HLM modeling</w:t>
      </w:r>
    </w:p>
    <w:p>
      <w:r>
        <w:t>Co-I 2: [Name], [Title]</w:t>
      </w:r>
    </w:p>
    <w:p>
      <w:r>
        <w:t>[Department], [Institution]</w:t>
      </w:r>
    </w:p>
    <w:p>
      <w:r>
        <w:t>Expertise: Qualitative research, community studies</w:t>
      </w:r>
    </w:p>
    <w:p>
      <w:r>
        <w:t>Role: Focus group facilitation, interview analysis, qualitative component leadership</w:t>
      </w:r>
    </w:p>
    <w:p>
      <w:r>
        <w:t>Co-I 3: [Name], [Title]</w:t>
      </w:r>
    </w:p>
    <w:p>
      <w:r>
        <w:t>[Department], [Institution]</w:t>
      </w:r>
    </w:p>
    <w:p>
      <w:r>
        <w:t>Expertise: District governance, public administration</w:t>
      </w:r>
    </w:p>
    <w:p>
      <w:r>
        <w:t>Role: Policy analysis, stakeholder engagement, recommendations development</w:t>
      </w:r>
    </w:p>
    <w:p/>
    <w:p>
      <w:pPr>
        <w:pStyle w:val="Heading2"/>
      </w:pPr>
      <w:r>
        <w:t>10. References</w:t>
      </w:r>
    </w:p>
    <w:p>
      <w:r>
        <w:t>Braun, V., &amp; Clarke, V. (2006). Using thematic analysis in psychology. Qualitative Research in Psychology, 3(2), 77-101.</w:t>
      </w:r>
    </w:p>
    <w:p>
      <w:r>
        <w:t>Creswell, J. W., &amp; Plano Clark, V. L. (2017). Designing and conducting mixed methods research (3rd ed.). Sage.</w:t>
      </w:r>
    </w:p>
    <w:p>
      <w:r>
        <w:t>McCombs, M. E., &amp; Shaw, D. L. (1972). The agenda-setting function of mass media. Public Opinion Quarterly, 36(2), 176-187.</w:t>
      </w:r>
    </w:p>
    <w:p>
      <w:r>
        <w:t>van Oorschot, W. (2000). Who should get what, and why? On deservingness criteria and the conditionality of solidarity among the public. Policy &amp; Politics, 28(1), 33-48.</w:t>
      </w:r>
    </w:p>
    <w:p>
      <w:r>
        <w:t>van Oorschot, W. (2006). Making the difference in social Europe: Deservingness perceptions among citizens of European welfare states. Journal of European Social Policy, 16(1), 23-42.</w:t>
      </w:r>
    </w:p>
    <w:p>
      <w:r>
        <w:t>[Additional references to be added based on literature review]</w:t>
      </w:r>
    </w:p>
    <w:p/>
    <w:p>
      <w:pPr>
        <w:pStyle w:val="Heading2"/>
      </w:pPr>
      <w:r>
        <w:t>Appendices</w:t>
      </w:r>
    </w:p>
    <w:p>
      <w:pPr>
        <w:pStyle w:val="Heading3"/>
      </w:pPr>
      <w:r>
        <w:t>Appendix A: Draft Survey Questionnaire</w:t>
      </w:r>
    </w:p>
    <w:p>
      <w:r>
        <w:t>[To be developed]</w:t>
      </w:r>
    </w:p>
    <w:p>
      <w:pPr>
        <w:pStyle w:val="Heading3"/>
      </w:pPr>
      <w:r>
        <w:t>Appendix B: Focus Group Discussion Guide</w:t>
      </w:r>
    </w:p>
    <w:p>
      <w:r>
        <w:t>[To be developed]</w:t>
      </w:r>
    </w:p>
    <w:p>
      <w:pPr>
        <w:pStyle w:val="Heading3"/>
      </w:pPr>
      <w:r>
        <w:t>Appendix C: Interview Protocol</w:t>
      </w:r>
    </w:p>
    <w:p>
      <w:r>
        <w:t>[To be developed]</w:t>
      </w:r>
    </w:p>
    <w:p>
      <w:pPr>
        <w:pStyle w:val="Heading3"/>
      </w:pPr>
      <w:r>
        <w:t>Appendix D: Vignette Scenarios</w:t>
      </w:r>
    </w:p>
    <w:p>
      <w:r>
        <w:t>[To be developed]</w:t>
      </w:r>
    </w:p>
    <w:p>
      <w:pPr>
        <w:pStyle w:val="Heading3"/>
      </w:pPr>
      <w:r>
        <w:t>Appendix E: Consent Forms</w:t>
      </w:r>
    </w:p>
    <w:p>
      <w:r>
        <w:t>[To be developed]</w:t>
      </w:r>
    </w:p>
    <w:p/>
    <w:p>
      <w:r>
        <w:t>This proposal template is based on analysis of 248 successful PPR research reports (2013-2023) and tailored for the Care Teams research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