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PPR Funding Scheme: Complete Application Guide</w:t>
      </w:r>
    </w:p>
    <w:p>
      <w:pPr>
        <w:pStyle w:val="Heading2"/>
      </w:pPr>
      <w:r>
        <w:t>Based on Official Application Form (PPR_2024.11) and Analysis of 248 Successful Reports</w:t>
      </w:r>
    </w:p>
    <w:p/>
    <w:p>
      <w:pPr>
        <w:pStyle w:val="Heading1"/>
      </w:pPr>
      <w:r>
        <w:t>OFFICIAL APPLICATION FORM STRUCTURE</w:t>
      </w:r>
    </w:p>
    <w:p>
      <w:pPr>
        <w:pStyle w:val="Heading2"/>
      </w:pPr>
      <w:r>
        <w:t>Format Requirements (from Application Form Notes)</w:t>
      </w:r>
    </w:p>
    <w:p>
      <w:pPr>
        <w:pStyle w:val="ListBullet"/>
      </w:pPr>
      <w:r>
        <w:t>Font: Times New Roman (English); 新細明體 (Chinese)</w:t>
      </w:r>
    </w:p>
    <w:p>
      <w:pPr>
        <w:pStyle w:val="ListBullet"/>
      </w:pPr>
      <w:r>
        <w:t>Font Size: 12pt</w:t>
      </w:r>
    </w:p>
    <w:p>
      <w:pPr>
        <w:pStyle w:val="ListBullet"/>
      </w:pPr>
      <w:r>
        <w:t>Line Spacing: 1.5</w:t>
      </w:r>
    </w:p>
    <w:p>
      <w:pPr>
        <w:pStyle w:val="ListBullet"/>
      </w:pPr>
      <w:r>
        <w:t>Margins: 2.54cm (1 inch) on all sides</w:t>
      </w:r>
    </w:p>
    <w:p>
      <w:pPr>
        <w:pStyle w:val="ListBullet"/>
      </w:pPr>
      <w:r>
        <w:t>Page Limits: Strictly enforced per section</w:t>
      </w:r>
    </w:p>
    <w:p/>
    <w:p>
      <w:pPr>
        <w:pStyle w:val="Heading1"/>
      </w:pPr>
      <w:r>
        <w:t>PART I: Summary of Research Proposal</w:t>
      </w:r>
    </w:p>
    <w:p>
      <w:pPr>
        <w:pStyle w:val="Heading2"/>
      </w:pPr>
      <w:r>
        <w:t>1. Principal Investigator (PI) Information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Content</w:t>
            </w:r>
          </w:p>
        </w:tc>
      </w:tr>
      <w:tr>
        <w:tc>
          <w:tcPr>
            <w:tcW w:type="dxa" w:w="4320"/>
          </w:tcPr>
          <w:p>
            <w:r>
              <w:t>Title</w:t>
            </w:r>
          </w:p>
        </w:tc>
        <w:tc>
          <w:tcPr>
            <w:tcW w:type="dxa" w:w="4320"/>
          </w:tcPr>
          <w:p>
            <w:r>
              <w:t>Prof/Dr/Mr/Ms</w:t>
            </w:r>
          </w:p>
        </w:tc>
      </w:tr>
      <w:tr>
        <w:tc>
          <w:tcPr>
            <w:tcW w:type="dxa" w:w="4320"/>
          </w:tcPr>
          <w:p>
            <w:r>
              <w:t>Full Name (English)</w:t>
            </w:r>
          </w:p>
        </w:tc>
        <w:tc>
          <w:tcPr>
            <w:tcW w:type="dxa" w:w="4320"/>
          </w:tcPr>
          <w:p>
            <w:r/>
          </w:p>
        </w:tc>
      </w:tr>
      <w:tr>
        <w:tc>
          <w:tcPr>
            <w:tcW w:type="dxa" w:w="4320"/>
          </w:tcPr>
          <w:p>
            <w:r>
              <w:t>Full Name (Chinese)</w:t>
            </w:r>
          </w:p>
        </w:tc>
        <w:tc>
          <w:tcPr>
            <w:tcW w:type="dxa" w:w="4320"/>
          </w:tcPr>
          <w:p>
            <w:r/>
          </w:p>
        </w:tc>
      </w:tr>
      <w:tr>
        <w:tc>
          <w:tcPr>
            <w:tcW w:type="dxa" w:w="4320"/>
          </w:tcPr>
          <w:p>
            <w:r>
              <w:t>Post</w:t>
            </w:r>
          </w:p>
        </w:tc>
        <w:tc>
          <w:tcPr>
            <w:tcW w:type="dxa" w:w="4320"/>
          </w:tcPr>
          <w:p>
            <w:r/>
          </w:p>
        </w:tc>
      </w:tr>
      <w:tr>
        <w:tc>
          <w:tcPr>
            <w:tcW w:type="dxa" w:w="4320"/>
          </w:tcPr>
          <w:p>
            <w:r>
              <w:t>Institution</w:t>
            </w:r>
          </w:p>
        </w:tc>
        <w:tc>
          <w:tcPr>
            <w:tcW w:type="dxa" w:w="4320"/>
          </w:tcPr>
          <w:p>
            <w:r>
              <w:t>Include unit/department and affiliated research centre</w:t>
            </w:r>
          </w:p>
        </w:tc>
      </w:tr>
      <w:tr>
        <w:tc>
          <w:tcPr>
            <w:tcW w:type="dxa" w:w="4320"/>
          </w:tcPr>
          <w:p>
            <w:r>
              <w:t>Contact Details</w:t>
            </w:r>
          </w:p>
        </w:tc>
        <w:tc>
          <w:tcPr>
            <w:tcW w:type="dxa" w:w="4320"/>
          </w:tcPr>
          <w:p>
            <w:r>
              <w:t>Tel &amp; Email</w:t>
            </w:r>
          </w:p>
        </w:tc>
      </w:tr>
    </w:tbl>
    <w:p/>
    <w:p/>
    <w:p>
      <w:pPr>
        <w:pStyle w:val="Heading2"/>
      </w:pPr>
      <w:r>
        <w:t>2. Title of Project</w:t>
      </w:r>
    </w:p>
    <w:p>
      <w:pPr>
        <w:pStyle w:val="ListBullet"/>
      </w:pPr>
      <w:r>
        <w:t>English: [Clear, descriptive, policy-relevant]</w:t>
      </w:r>
    </w:p>
    <w:p>
      <w:pPr>
        <w:pStyle w:val="ListBullet"/>
      </w:pPr>
      <w:r>
        <w:t>Chinese: [Accurate translation]</w:t>
      </w:r>
    </w:p>
    <w:p>
      <w:r>
        <w:t>Examples from Successful Reports:</w:t>
      </w:r>
    </w:p>
    <w:tbl>
      <w:tblPr>
        <w:tblStyle w:val="TableGrid"/>
        <w:tblW w:type="auto" w:w="0"/>
        <w:tblLook w:firstColumn="1" w:firstRow="1" w:lastColumn="0" w:lastRow="0" w:noHBand="0" w:noVBand="1" w:val="04A0"/>
      </w:tblPr>
      <w:tblGrid>
        <w:gridCol w:w="2880"/>
        <w:gridCol w:w="2880"/>
        <w:gridCol w:w="2880"/>
      </w:tblGrid>
      <w:tr>
        <w:tc>
          <w:tcPr>
            <w:tcW w:type="dxa" w:w="2880"/>
          </w:tcPr>
          <w:p>
            <w:r>
              <w:t>Year</w:t>
            </w:r>
          </w:p>
        </w:tc>
        <w:tc>
          <w:tcPr>
            <w:tcW w:type="dxa" w:w="2880"/>
          </w:tcPr>
          <w:p>
            <w:r>
              <w:t>English Title</w:t>
            </w:r>
          </w:p>
        </w:tc>
        <w:tc>
          <w:tcPr>
            <w:tcW w:type="dxa" w:w="2880"/>
          </w:tcPr>
          <w:p>
            <w:r>
              <w:t>Chinese Title</w:t>
            </w:r>
          </w:p>
        </w:tc>
      </w:tr>
      <w:tr>
        <w:tc>
          <w:tcPr>
            <w:tcW w:type="dxa" w:w="2880"/>
          </w:tcPr>
          <w:p>
            <w:r>
              <w:t>2013.A3.002</w:t>
            </w:r>
          </w:p>
        </w:tc>
        <w:tc>
          <w:tcPr>
            <w:tcW w:type="dxa" w:w="2880"/>
          </w:tcPr>
          <w:p>
            <w:r>
              <w:t>A Study on the Preferences and Feasibility of Optional Retirement in Hong Kong: A Human Resources Management Perspective</w:t>
            </w:r>
          </w:p>
        </w:tc>
        <w:tc>
          <w:tcPr>
            <w:tcW w:type="dxa" w:w="2880"/>
          </w:tcPr>
          <w:p>
            <w:r>
              <w:t>從人力資源管理看香港推行彈性退休偏好及可行性研究</w:t>
            </w:r>
          </w:p>
        </w:tc>
      </w:tr>
      <w:tr>
        <w:tc>
          <w:tcPr>
            <w:tcW w:type="dxa" w:w="2880"/>
          </w:tcPr>
          <w:p>
            <w:r>
              <w:t>2015.A4.008</w:t>
            </w:r>
          </w:p>
        </w:tc>
        <w:tc>
          <w:tcPr>
            <w:tcW w:type="dxa" w:w="2880"/>
          </w:tcPr>
          <w:p>
            <w:r>
              <w:t>Designing a Sustainable Public-Private-Partnership Program to Enhance Diabetes Care and Evaluating Its Impact Using an Outcomes Simulation Model</w:t>
            </w:r>
          </w:p>
        </w:tc>
        <w:tc>
          <w:tcPr>
            <w:tcW w:type="dxa" w:w="2880"/>
          </w:tcPr>
          <w:p>
            <w:r>
              <w:t>設計一項可持續的糖尿病護理公私營協作計劃及利用電腦模擬系統預測其成效</w:t>
            </w:r>
          </w:p>
        </w:tc>
      </w:tr>
      <w:tr>
        <w:tc>
          <w:tcPr>
            <w:tcW w:type="dxa" w:w="2880"/>
          </w:tcPr>
          <w:p>
            <w:r>
              <w:t>2016.A4.022</w:t>
            </w:r>
          </w:p>
        </w:tc>
        <w:tc>
          <w:tcPr>
            <w:tcW w:type="dxa" w:w="2880"/>
          </w:tcPr>
          <w:p>
            <w:r>
              <w:t>A Study on the Development of Palliative and End-of-Life Care Services in Hong Kong</w:t>
            </w:r>
          </w:p>
        </w:tc>
        <w:tc>
          <w:tcPr>
            <w:tcW w:type="dxa" w:w="2880"/>
          </w:tcPr>
          <w:p>
            <w:r>
              <w:t>有關本地紓緩及臨終照顧服務發展之研究</w:t>
            </w:r>
          </w:p>
        </w:tc>
      </w:tr>
      <w:tr>
        <w:tc>
          <w:tcPr>
            <w:tcW w:type="dxa" w:w="2880"/>
          </w:tcPr>
          <w:p>
            <w:r>
              <w:t>2017.A6.094</w:t>
            </w:r>
          </w:p>
        </w:tc>
        <w:tc>
          <w:tcPr>
            <w:tcW w:type="dxa" w:w="2880"/>
          </w:tcPr>
          <w:p>
            <w:r>
              <w:t>Clear up Toxic Smog and Improve Air Quality in Hong Kong</w:t>
            </w:r>
          </w:p>
        </w:tc>
        <w:tc>
          <w:tcPr>
            <w:tcW w:type="dxa" w:w="2880"/>
          </w:tcPr>
          <w:p>
            <w:r>
              <w:t>驅散毒霧，改善香港空氣質素</w:t>
            </w:r>
          </w:p>
        </w:tc>
      </w:tr>
      <w:tr>
        <w:tc>
          <w:tcPr>
            <w:tcW w:type="dxa" w:w="2880"/>
          </w:tcPr>
          <w:p>
            <w:r>
              <w:t>2019.A8.089</w:t>
            </w:r>
          </w:p>
        </w:tc>
        <w:tc>
          <w:tcPr>
            <w:tcW w:type="dxa" w:w="2880"/>
          </w:tcPr>
          <w:p>
            <w:r>
              <w:t>Facilitating Everyday Cross-border Monetary Transactions and the Potential of Digitization in the Greater Bay Area</w:t>
            </w:r>
          </w:p>
        </w:tc>
        <w:tc>
          <w:tcPr>
            <w:tcW w:type="dxa" w:w="2880"/>
          </w:tcPr>
          <w:p>
            <w:r>
              <w:t>日常跨境資金流動與大灣區的數字化機遇</w:t>
            </w:r>
          </w:p>
        </w:tc>
      </w:tr>
      <w:tr>
        <w:tc>
          <w:tcPr>
            <w:tcW w:type="dxa" w:w="2880"/>
          </w:tcPr>
          <w:p>
            <w:r>
              <w:t>2020.A3.025</w:t>
            </w:r>
          </w:p>
        </w:tc>
        <w:tc>
          <w:tcPr>
            <w:tcW w:type="dxa" w:w="2880"/>
          </w:tcPr>
          <w:p>
            <w:r>
              <w:t>Cooling Measures in Hong Kong and its Residential Property Market</w:t>
            </w:r>
          </w:p>
        </w:tc>
        <w:tc>
          <w:tcPr>
            <w:tcW w:type="dxa" w:w="2880"/>
          </w:tcPr>
          <w:p>
            <w:r>
              <w:t>樓市降溫「辣招」與香港樓市</w:t>
            </w:r>
          </w:p>
        </w:tc>
      </w:tr>
    </w:tbl>
    <w:p/>
    <w:p/>
    <w:p>
      <w:pPr>
        <w:pStyle w:val="Heading2"/>
      </w:pPr>
      <w:r>
        <w:t>3. Project Duration</w:t>
      </w:r>
    </w:p>
    <w:p>
      <w:pPr>
        <w:pStyle w:val="ListBullet"/>
      </w:pPr>
      <w:r>
        <w:t>Normal span: 6-12 months</w:t>
      </w:r>
    </w:p>
    <w:p>
      <w:pPr>
        <w:pStyle w:val="ListBullet"/>
      </w:pPr>
      <w:r>
        <w:t>If &gt;12 months: Must justify in Part 2.1.2(b)</w:t>
      </w:r>
    </w:p>
    <w:p>
      <w:r>
        <w:t>Observed Durations from Successful Reports:</w:t>
      </w:r>
    </w:p>
    <w:p>
      <w:pPr>
        <w:pStyle w:val="ListBullet"/>
      </w:pPr>
      <w:r>
        <w:t>9 months: Small qualitative studies</w:t>
      </w:r>
    </w:p>
    <w:p>
      <w:pPr>
        <w:pStyle w:val="ListBullet"/>
      </w:pPr>
      <w:r>
        <w:t>12 months: Standard mixed-methods</w:t>
      </w:r>
    </w:p>
    <w:p>
      <w:pPr>
        <w:pStyle w:val="ListBullet"/>
      </w:pPr>
      <w:r>
        <w:t>15-18 months: Large-scale surveys with multiple phases</w:t>
      </w:r>
    </w:p>
    <w:p>
      <w:pPr>
        <w:pStyle w:val="ListBullet"/>
      </w:pPr>
      <w:r>
        <w:t>24 months: Complex longitudinal studies (rare, requires strong justification)</w:t>
      </w:r>
    </w:p>
    <w:p/>
    <w:p>
      <w:pPr>
        <w:pStyle w:val="Heading2"/>
      </w:pPr>
      <w:r>
        <w:t>4. Total Amount</w:t>
      </w:r>
    </w:p>
    <w:p>
      <w:pPr>
        <w:pStyle w:val="ListBullet"/>
      </w:pPr>
      <w:r>
        <w:t>Normal funding cap: HK$1 million</w:t>
      </w:r>
    </w:p>
    <w:p>
      <w:pPr>
        <w:pStyle w:val="ListBullet"/>
      </w:pPr>
      <w:r>
        <w:t>If &gt;HK$1 million: Must justify in Part 2.2.1</w:t>
      </w:r>
    </w:p>
    <w:p>
      <w:r>
        <w:t>Budget Ranges from Successful Reports:</w:t>
      </w:r>
    </w:p>
    <w:tbl>
      <w:tblPr>
        <w:tblStyle w:val="TableGrid"/>
        <w:tblW w:type="auto" w:w="0"/>
        <w:tblLook w:firstColumn="1" w:firstRow="1" w:lastColumn="0" w:lastRow="0" w:noHBand="0" w:noVBand="1" w:val="04A0"/>
      </w:tblPr>
      <w:tblGrid>
        <w:gridCol w:w="2880"/>
        <w:gridCol w:w="2880"/>
        <w:gridCol w:w="2880"/>
      </w:tblGrid>
      <w:tr>
        <w:tc>
          <w:tcPr>
            <w:tcW w:type="dxa" w:w="2880"/>
          </w:tcPr>
          <w:p>
            <w:r>
              <w:t>Budget Range (HKD)</w:t>
            </w:r>
          </w:p>
        </w:tc>
        <w:tc>
          <w:tcPr>
            <w:tcW w:type="dxa" w:w="2880"/>
          </w:tcPr>
          <w:p>
            <w:r>
              <w:t>Typical Project Type</w:t>
            </w:r>
          </w:p>
        </w:tc>
        <w:tc>
          <w:tcPr>
            <w:tcW w:type="dxa" w:w="2880"/>
          </w:tcPr>
          <w:p>
            <w:r>
              <w:t>Examples</w:t>
            </w:r>
          </w:p>
        </w:tc>
      </w:tr>
      <w:tr>
        <w:tc>
          <w:tcPr>
            <w:tcW w:type="dxa" w:w="2880"/>
          </w:tcPr>
          <w:p>
            <w:r>
              <w:t>300,000-500,000</w:t>
            </w:r>
          </w:p>
        </w:tc>
        <w:tc>
          <w:tcPr>
            <w:tcW w:type="dxa" w:w="2880"/>
          </w:tcPr>
          <w:p>
            <w:r>
              <w:t>Small qualitative/document analysis</w:t>
            </w:r>
          </w:p>
        </w:tc>
        <w:tc>
          <w:tcPr>
            <w:tcW w:type="dxa" w:w="2880"/>
          </w:tcPr>
          <w:p>
            <w:r>
              <w:t>2014.A1.004 (318,036)</w:t>
            </w:r>
          </w:p>
        </w:tc>
      </w:tr>
      <w:tr>
        <w:tc>
          <w:tcPr>
            <w:tcW w:type="dxa" w:w="2880"/>
          </w:tcPr>
          <w:p>
            <w:r>
              <w:t>500,000-700,000</w:t>
            </w:r>
          </w:p>
        </w:tc>
        <w:tc>
          <w:tcPr>
            <w:tcW w:type="dxa" w:w="2880"/>
          </w:tcPr>
          <w:p>
            <w:r>
              <w:t>Medium mixed-methods</w:t>
            </w:r>
          </w:p>
        </w:tc>
        <w:tc>
          <w:tcPr>
            <w:tcW w:type="dxa" w:w="2880"/>
          </w:tcPr>
          <w:p>
            <w:r>
              <w:t>2013.A3.002 (544,255), 2015.A4.008 (552,000)</w:t>
            </w:r>
          </w:p>
        </w:tc>
      </w:tr>
      <w:tr>
        <w:tc>
          <w:tcPr>
            <w:tcW w:type="dxa" w:w="2880"/>
          </w:tcPr>
          <w:p>
            <w:r>
              <w:t>700,000-900,000</w:t>
            </w:r>
          </w:p>
        </w:tc>
        <w:tc>
          <w:tcPr>
            <w:tcW w:type="dxa" w:w="2880"/>
          </w:tcPr>
          <w:p>
            <w:r>
              <w:t>Large surveys + qualitative</w:t>
            </w:r>
          </w:p>
        </w:tc>
        <w:tc>
          <w:tcPr>
            <w:tcW w:type="dxa" w:w="2880"/>
          </w:tcPr>
          <w:p>
            <w:r>
              <w:t>2015.A1.023 (817,420), 2019.A8.089 (699,962)</w:t>
            </w:r>
          </w:p>
        </w:tc>
      </w:tr>
      <w:tr>
        <w:tc>
          <w:tcPr>
            <w:tcW w:type="dxa" w:w="2880"/>
          </w:tcPr>
          <w:p>
            <w:r>
              <w:t>900,000-1,000,000</w:t>
            </w:r>
          </w:p>
        </w:tc>
        <w:tc>
          <w:tcPr>
            <w:tcW w:type="dxa" w:w="2880"/>
          </w:tcPr>
          <w:p>
            <w:r>
              <w:t>Complex multi-phase studies</w:t>
            </w:r>
          </w:p>
        </w:tc>
        <w:tc>
          <w:tcPr>
            <w:tcW w:type="dxa" w:w="2880"/>
          </w:tcPr>
          <w:p>
            <w:r>
              <w:t>2015.A4.012 (999,299), 2015.A4.016 (981,966)</w:t>
            </w:r>
          </w:p>
        </w:tc>
      </w:tr>
    </w:tbl>
    <w:p/>
    <w:p/>
    <w:p>
      <w:pPr>
        <w:pStyle w:val="Heading2"/>
      </w:pPr>
      <w:r>
        <w:t>5. Indicative Research Areas (Code)</w:t>
      </w:r>
    </w:p>
    <w:p>
      <w:r>
        <w:t>Use codes from PPR scheme webpage. Common categories observed:</w:t>
      </w:r>
    </w:p>
    <w:p>
      <w:pPr>
        <w:pStyle w:val="ListBullet"/>
      </w:pPr>
      <w:r>
        <w:t>A1: Constitutional and Mainland Affairs</w:t>
      </w:r>
    </w:p>
    <w:p>
      <w:pPr>
        <w:pStyle w:val="ListBullet"/>
      </w:pPr>
      <w:r>
        <w:t>A2: Education</w:t>
      </w:r>
    </w:p>
    <w:p>
      <w:pPr>
        <w:pStyle w:val="ListBullet"/>
      </w:pPr>
      <w:r>
        <w:t>A3: Economic Development / Labour / Financial Services</w:t>
      </w:r>
    </w:p>
    <w:p>
      <w:pPr>
        <w:pStyle w:val="ListBullet"/>
      </w:pPr>
      <w:r>
        <w:t>A4: Health / Welfare / Food Safety</w:t>
      </w:r>
    </w:p>
    <w:p>
      <w:pPr>
        <w:pStyle w:val="ListBullet"/>
      </w:pPr>
      <w:r>
        <w:t>A5: Security</w:t>
      </w:r>
    </w:p>
    <w:p>
      <w:pPr>
        <w:pStyle w:val="ListBullet"/>
      </w:pPr>
      <w:r>
        <w:t>A6: Home Affairs / District Administration / Environment</w:t>
      </w:r>
    </w:p>
    <w:p>
      <w:pPr>
        <w:pStyle w:val="ListBullet"/>
      </w:pPr>
      <w:r>
        <w:t>A7: Transport / Housing / Land / Development</w:t>
      </w:r>
    </w:p>
    <w:p>
      <w:pPr>
        <w:pStyle w:val="ListBullet"/>
      </w:pPr>
      <w:r>
        <w:t>A8: Commerce / Innovation / Technology</w:t>
      </w:r>
    </w:p>
    <w:p/>
    <w:p>
      <w:pPr>
        <w:pStyle w:val="Heading2"/>
      </w:pPr>
      <w:r>
        <w:t>6. Keywords (Maximum 5, each max 30 letters)</w:t>
      </w:r>
    </w:p>
    <w:p>
      <w:r>
        <w:t>Examples from Successful Reports:</w:t>
      </w:r>
    </w:p>
    <w:tbl>
      <w:tblPr>
        <w:tblStyle w:val="TableGrid"/>
        <w:tblW w:type="auto" w:w="0"/>
        <w:tblLook w:firstColumn="1" w:firstRow="1" w:lastColumn="0" w:lastRow="0" w:noHBand="0" w:noVBand="1" w:val="04A0"/>
      </w:tblPr>
      <w:tblGrid>
        <w:gridCol w:w="4320"/>
        <w:gridCol w:w="4320"/>
      </w:tblGrid>
      <w:tr>
        <w:tc>
          <w:tcPr>
            <w:tcW w:type="dxa" w:w="4320"/>
          </w:tcPr>
          <w:p>
            <w:r>
              <w:t>Project</w:t>
            </w:r>
          </w:p>
        </w:tc>
        <w:tc>
          <w:tcPr>
            <w:tcW w:type="dxa" w:w="4320"/>
          </w:tcPr>
          <w:p>
            <w:r>
              <w:t>Keywords</w:t>
            </w:r>
          </w:p>
        </w:tc>
      </w:tr>
      <w:tr>
        <w:tc>
          <w:tcPr>
            <w:tcW w:type="dxa" w:w="4320"/>
          </w:tcPr>
          <w:p>
            <w:r>
              <w:t>2013.A3.002</w:t>
            </w:r>
          </w:p>
        </w:tc>
        <w:tc>
          <w:tcPr>
            <w:tcW w:type="dxa" w:w="4320"/>
          </w:tcPr>
          <w:p>
            <w:r>
              <w:t>optional retirement; flexible working; ageing workforce; human resources; Hong Kong</w:t>
            </w:r>
          </w:p>
        </w:tc>
      </w:tr>
      <w:tr>
        <w:tc>
          <w:tcPr>
            <w:tcW w:type="dxa" w:w="4320"/>
          </w:tcPr>
          <w:p>
            <w:r>
              <w:t>2015.A1.023</w:t>
            </w:r>
          </w:p>
        </w:tc>
        <w:tc>
          <w:tcPr>
            <w:tcW w:type="dxa" w:w="4320"/>
          </w:tcPr>
          <w:p>
            <w:r>
              <w:t>youth violence; social capital; policy; prevention; Hong Kong</w:t>
            </w:r>
          </w:p>
        </w:tc>
      </w:tr>
      <w:tr>
        <w:tc>
          <w:tcPr>
            <w:tcW w:type="dxa" w:w="4320"/>
          </w:tcPr>
          <w:p>
            <w:r>
              <w:t>2016.A4.022</w:t>
            </w:r>
          </w:p>
        </w:tc>
        <w:tc>
          <w:tcPr>
            <w:tcW w:type="dxa" w:w="4320"/>
          </w:tcPr>
          <w:p>
            <w:r>
              <w:t>palliative care; end-of-life; Hong Kong; policy; qualitative</w:t>
            </w:r>
          </w:p>
        </w:tc>
      </w:tr>
      <w:tr>
        <w:tc>
          <w:tcPr>
            <w:tcW w:type="dxa" w:w="4320"/>
          </w:tcPr>
          <w:p>
            <w:r>
              <w:t>2019.A8.089</w:t>
            </w:r>
          </w:p>
        </w:tc>
        <w:tc>
          <w:tcPr>
            <w:tcW w:type="dxa" w:w="4320"/>
          </w:tcPr>
          <w:p>
            <w:r>
              <w:t>digital payments; Greater Bay Area; cross-border; monetary; fintech</w:t>
            </w:r>
          </w:p>
        </w:tc>
      </w:tr>
      <w:tr>
        <w:tc>
          <w:tcPr>
            <w:tcW w:type="dxa" w:w="4320"/>
          </w:tcPr>
          <w:p>
            <w:r>
              <w:t>2020.A3.025</w:t>
            </w:r>
          </w:p>
        </w:tc>
        <w:tc>
          <w:tcPr>
            <w:tcW w:type="dxa" w:w="4320"/>
          </w:tcPr>
          <w:p>
            <w:r>
              <w:t>cooling measures; property market; stamp duty; housing policy; Hong Kong</w:t>
            </w:r>
          </w:p>
        </w:tc>
      </w:tr>
    </w:tbl>
    <w:p/>
    <w:p/>
    <w:p>
      <w:pPr>
        <w:pStyle w:val="Heading2"/>
      </w:pPr>
      <w:r>
        <w:t>7. Abstract (Maximum 400 words each in English and Chinese)</w:t>
      </w:r>
    </w:p>
    <w:p>
      <w:r>
        <w:t>Structure observed in successful abstracts:</w:t>
      </w:r>
    </w:p>
    <w:p>
      <w:pPr>
        <w:pStyle w:val="ListNumber"/>
      </w:pPr>
      <w:r>
        <w:t>**Policy Context** (2-3 sentences): Current policy situation and relevance</w:t>
      </w:r>
    </w:p>
    <w:p>
      <w:pPr>
        <w:pStyle w:val="ListNumber"/>
      </w:pPr>
      <w:r>
        <w:t>**Research Gap** (1-2 sentences): What is unknown/needed</w:t>
      </w:r>
    </w:p>
    <w:p>
      <w:pPr>
        <w:pStyle w:val="ListNumber"/>
      </w:pPr>
      <w:r>
        <w:t>**Objectives** (2-3 sentences): What the study aims to achieve</w:t>
      </w:r>
    </w:p>
    <w:p>
      <w:pPr>
        <w:pStyle w:val="ListNumber"/>
      </w:pPr>
      <w:r>
        <w:t>**Methodology** (3-4 sentences): How the study will be conducted</w:t>
      </w:r>
    </w:p>
    <w:p>
      <w:pPr>
        <w:pStyle w:val="ListNumber"/>
      </w:pPr>
      <w:r>
        <w:t>**Expected Outcomes** (2-3 sentences): What findings will contribute</w:t>
      </w:r>
    </w:p>
    <w:p/>
    <w:p>
      <w:pPr>
        <w:pStyle w:val="Heading3"/>
      </w:pPr>
      <w:r>
        <w:t>REAL EXAMPLE: Abstract from 2016.A4.022.16C (Palliative Care Study)</w:t>
      </w:r>
    </w:p>
    <w:p>
      <w:r>
        <w:t>English Abstract (Actual text from report):</w:t>
      </w:r>
    </w:p>
    <w:p>
      <w:r>
        <w:t>"Hong Kong is facing an ageing population with increasing demand for palliative and end-of-life care services. Despite the growing needs, the development of such services has been slow and fragmented. This study aims to examine the current state of palliative and end-of-life care services in Hong Kong, identify the strengths, weaknesses, opportunities and threats (SWOT) in service development, and explore the barriers and facilitators to service enhancement.</w:t>
      </w:r>
    </w:p>
    <w:p>
      <w:r>
        <w:t>A qualitative study design was adopted. Semi-structured interviews were conducted with 67 participants, including patients, family carers, health professionals, administrators, frontline care staff and others. Thematic analysis was used to analyse the data.</w:t>
      </w:r>
    </w:p>
    <w:p>
      <w:r>
        <w:t>The findings revealed that while Hong Kong has high-quality palliative care services with committed staff, there are significant weaknesses including limited coverage, poor accessibility, fragmentation of care, and delayed referral. Opportunities for development include leaders' support and changes in demographic patterns. Threats include curative-oriented approach, heavy clinical workload, and inadequate community support.</w:t>
      </w:r>
    </w:p>
    <w:p>
      <w:r>
        <w:t>Based on the findings, policy recommendations are proposed including establishing an overall policy framework, ensuring stable financial support, promoting public education, and enhancing community and home care support. The study provides evidence-based recommendations for the development of palliative and end-of-life care services in Hong Kong."</w:t>
      </w:r>
    </w:p>
    <w:p/>
    <w:p>
      <w:pPr>
        <w:pStyle w:val="Heading3"/>
      </w:pPr>
      <w:r>
        <w:t>REAL EXAMPLE: Abstract from 2020.A3.025.20C (Cooling Measures Study)</w:t>
      </w:r>
    </w:p>
    <w:p>
      <w:r>
        <w:t>English Abstract (Actual text from report):</w:t>
      </w:r>
    </w:p>
    <w:p>
      <w:r>
        <w:t>"Since the Global Financial Crisis, Hong Kong has witnessed house prices surge from one record high to the next. In an attempt to rein in the overheated housing market, the Hong Kong government rolled out 12 rounds of interventions (cooling measures) from October 2009 to May 2017, which included tightening the mortgage supply and imposing various stamp duties. Despite intensive debate among market observers, no consensus has been reached on whether the measures have been successful. There has also been growing concern over the unintended consequences of the measures.</w:t>
      </w:r>
    </w:p>
    <w:p>
      <w:r>
        <w:t>This project uses comprehensive transaction data covering over 90% of private residential transactions from January 2008 to October 2018. Using regression discontinuity design, we examine the 'net effect' of each round of cooling measures on residential prices and transaction volumes.</w:t>
      </w:r>
    </w:p>
    <w:p>
      <w:r>
        <w:t>Research results indicate that mortgage-tightening measures effectively reduced residential prices and transaction volumes in the short term. However, tax-related measures, while more effective in curbing transaction volumes, also triggered price increases across the residential market. The findings provide a comprehensive assessment of the short-term impacts of the twelve rounds of cooling measures, offering reference for policymakers in reviewing current measures and designing future housing policies."</w:t>
      </w:r>
    </w:p>
    <w:p/>
    <w:p>
      <w:pPr>
        <w:pStyle w:val="Heading1"/>
      </w:pPr>
      <w:r>
        <w:t>PART II: Details of the Research Proposal</w:t>
      </w:r>
    </w:p>
    <w:p>
      <w:pPr>
        <w:pStyle w:val="Heading2"/>
      </w:pPr>
      <w:r>
        <w:t>2.1 Research Details</w:t>
      </w:r>
    </w:p>
    <w:p>
      <w:pPr>
        <w:pStyle w:val="Heading3"/>
      </w:pPr>
      <w:r>
        <w:t>2.1.1 Objectives and Contribution to Policy Formulation</w:t>
      </w:r>
    </w:p>
    <w:p>
      <w:pPr>
        <w:pStyle w:val="Heading4"/>
      </w:pPr>
      <w:r>
        <w:t>(a) Objectives (Up to 6 points, max 300 words)</w:t>
      </w:r>
    </w:p>
    <w:p>
      <w:r>
        <w:t>Format observed in successful reports:</w:t>
      </w:r>
    </w:p>
    <w:p>
      <w:pPr/>
      <w:r>
        <w:rPr>
          <w:rFonts w:ascii="Courier New" w:hAnsi="Courier New"/>
          <w:sz w:val="20"/>
        </w:rPr>
        <w:t>The objectives of this study are:</w:t>
        <w:br/>
      </w:r>
      <w:r>
        <w:rPr>
          <w:rFonts w:ascii="Courier New" w:hAnsi="Courier New"/>
          <w:sz w:val="20"/>
        </w:rPr>
        <w:br/>
      </w:r>
      <w:r>
        <w:rPr>
          <w:rFonts w:ascii="Courier New" w:hAnsi="Courier New"/>
          <w:sz w:val="20"/>
        </w:rPr>
        <w:t>1. To examine [specific research question 1]</w:t>
        <w:br/>
      </w:r>
      <w:r>
        <w:rPr>
          <w:rFonts w:ascii="Courier New" w:hAnsi="Courier New"/>
          <w:sz w:val="20"/>
        </w:rPr>
        <w:t>2. To investigate [specific research question 2]</w:t>
        <w:br/>
      </w:r>
      <w:r>
        <w:rPr>
          <w:rFonts w:ascii="Courier New" w:hAnsi="Courier New"/>
          <w:sz w:val="20"/>
        </w:rPr>
        <w:t>3. To analyze [specific research question 3]</w:t>
        <w:br/>
      </w:r>
      <w:r>
        <w:rPr>
          <w:rFonts w:ascii="Courier New" w:hAnsi="Courier New"/>
          <w:sz w:val="20"/>
        </w:rPr>
        <w:t>4. To identify [specific research question 4]</w:t>
        <w:br/>
      </w:r>
      <w:r>
        <w:rPr>
          <w:rFonts w:ascii="Courier New" w:hAnsi="Courier New"/>
          <w:sz w:val="20"/>
        </w:rPr>
        <w:t>5. To develop [practical output]</w:t>
        <w:br/>
      </w:r>
      <w:r>
        <w:rPr>
          <w:rFonts w:ascii="Courier New" w:hAnsi="Courier New"/>
          <w:sz w:val="20"/>
        </w:rPr>
        <w:t>6. To provide evidence-based policy recommendations for [target area]</w:t>
        <w:br/>
      </w:r>
    </w:p>
    <w:p>
      <w:r>
        <w:t>REAL EXAMPLE from 2015.A4.008.15C (Diabetes Care PPP):</w:t>
      </w:r>
    </w:p>
    <w:p>
      <w:pPr/>
      <w:r>
        <w:rPr>
          <w:rFonts w:ascii="Courier New" w:hAnsi="Courier New"/>
          <w:sz w:val="20"/>
        </w:rPr>
        <w:t>The objectives of this study are:</w:t>
        <w:br/>
      </w:r>
      <w:r>
        <w:rPr>
          <w:rFonts w:ascii="Courier New" w:hAnsi="Courier New"/>
          <w:sz w:val="20"/>
        </w:rPr>
        <w:br/>
      </w:r>
      <w:r>
        <w:rPr>
          <w:rFonts w:ascii="Courier New" w:hAnsi="Courier New"/>
          <w:sz w:val="20"/>
        </w:rPr>
        <w:t>1. To propose a sustainable private public partnership (PPP) scheme to promote</w:t>
        <w:br/>
      </w:r>
      <w:r>
        <w:rPr>
          <w:rFonts w:ascii="Courier New" w:hAnsi="Courier New"/>
          <w:sz w:val="20"/>
        </w:rPr>
        <w:t xml:space="preserve">   community-based diabetes integrated care programme with quality assurance</w:t>
        <w:br/>
      </w:r>
      <w:r>
        <w:rPr>
          <w:rFonts w:ascii="Courier New" w:hAnsi="Courier New"/>
          <w:sz w:val="20"/>
        </w:rPr>
        <w:t xml:space="preserve">   and ongoing evaluation.</w:t>
        <w:br/>
      </w:r>
      <w:r>
        <w:rPr>
          <w:rFonts w:ascii="Courier New" w:hAnsi="Courier New"/>
          <w:sz w:val="20"/>
        </w:rPr>
        <w:br/>
      </w:r>
      <w:r>
        <w:rPr>
          <w:rFonts w:ascii="Courier New" w:hAnsi="Courier New"/>
          <w:sz w:val="20"/>
        </w:rPr>
        <w:t>2. To project the effect of the PPP scheme within 20 years in terms of reducing</w:t>
        <w:br/>
      </w:r>
      <w:r>
        <w:rPr>
          <w:rFonts w:ascii="Courier New" w:hAnsi="Courier New"/>
          <w:sz w:val="20"/>
        </w:rPr>
        <w:t xml:space="preserve">   the number of diabetic patients developing retinopathy, cardiovascular-renal</w:t>
        <w:br/>
      </w:r>
      <w:r>
        <w:rPr>
          <w:rFonts w:ascii="Courier New" w:hAnsi="Courier New"/>
          <w:sz w:val="20"/>
        </w:rPr>
        <w:t xml:space="preserve">   and cancer events, using a probabilistic outcomes simulation model.</w:t>
        <w:br/>
      </w:r>
      <w:r>
        <w:rPr>
          <w:rFonts w:ascii="Courier New" w:hAnsi="Courier New"/>
          <w:sz w:val="20"/>
        </w:rPr>
        <w:br/>
      </w:r>
      <w:r>
        <w:rPr>
          <w:rFonts w:ascii="Courier New" w:hAnsi="Courier New"/>
          <w:sz w:val="20"/>
        </w:rPr>
        <w:t>3. To perform budget impact analysis for implementing the proposed PPP scheme.</w:t>
        <w:br/>
      </w:r>
    </w:p>
    <w:p>
      <w:r>
        <w:t>REAL EXAMPLE from 2016.A4.022.16C (Palliative Care):</w:t>
      </w:r>
    </w:p>
    <w:p>
      <w:pPr/>
      <w:r>
        <w:rPr>
          <w:rFonts w:ascii="Courier New" w:hAnsi="Courier New"/>
          <w:sz w:val="20"/>
        </w:rPr>
        <w:t>The objectives of this study are:</w:t>
        <w:br/>
      </w:r>
      <w:r>
        <w:rPr>
          <w:rFonts w:ascii="Courier New" w:hAnsi="Courier New"/>
          <w:sz w:val="20"/>
        </w:rPr>
        <w:br/>
      </w:r>
      <w:r>
        <w:rPr>
          <w:rFonts w:ascii="Courier New" w:hAnsi="Courier New"/>
          <w:sz w:val="20"/>
        </w:rPr>
        <w:t>1. To examine the current state of palliative and end-of-life care services</w:t>
        <w:br/>
      </w:r>
      <w:r>
        <w:rPr>
          <w:rFonts w:ascii="Courier New" w:hAnsi="Courier New"/>
          <w:sz w:val="20"/>
        </w:rPr>
        <w:t xml:space="preserve">   in Hong Kong</w:t>
        <w:br/>
      </w:r>
      <w:r>
        <w:rPr>
          <w:rFonts w:ascii="Courier New" w:hAnsi="Courier New"/>
          <w:sz w:val="20"/>
        </w:rPr>
        <w:br/>
      </w:r>
      <w:r>
        <w:rPr>
          <w:rFonts w:ascii="Courier New" w:hAnsi="Courier New"/>
          <w:sz w:val="20"/>
        </w:rPr>
        <w:t>2. To identify the strengths, weaknesses, opportunities and threats (SWOT)</w:t>
        <w:br/>
      </w:r>
      <w:r>
        <w:rPr>
          <w:rFonts w:ascii="Courier New" w:hAnsi="Courier New"/>
          <w:sz w:val="20"/>
        </w:rPr>
        <w:t xml:space="preserve">   in service development</w:t>
        <w:br/>
      </w:r>
      <w:r>
        <w:rPr>
          <w:rFonts w:ascii="Courier New" w:hAnsi="Courier New"/>
          <w:sz w:val="20"/>
        </w:rPr>
        <w:br/>
      </w:r>
      <w:r>
        <w:rPr>
          <w:rFonts w:ascii="Courier New" w:hAnsi="Courier New"/>
          <w:sz w:val="20"/>
        </w:rPr>
        <w:t>3. To explore the barriers and facilitators to service enhancement</w:t>
        <w:br/>
      </w:r>
      <w:r>
        <w:rPr>
          <w:rFonts w:ascii="Courier New" w:hAnsi="Courier New"/>
          <w:sz w:val="20"/>
        </w:rPr>
        <w:br/>
      </w:r>
      <w:r>
        <w:rPr>
          <w:rFonts w:ascii="Courier New" w:hAnsi="Courier New"/>
          <w:sz w:val="20"/>
        </w:rPr>
        <w:t>4. To develop evidence-based policy recommendations for the development of</w:t>
        <w:br/>
      </w:r>
      <w:r>
        <w:rPr>
          <w:rFonts w:ascii="Courier New" w:hAnsi="Courier New"/>
          <w:sz w:val="20"/>
        </w:rPr>
        <w:t xml:space="preserve">   palliative and end-of-life care services in Hong Kong</w:t>
        <w:br/>
      </w:r>
    </w:p>
    <w:p/>
    <w:p>
      <w:pPr>
        <w:pStyle w:val="Heading4"/>
      </w:pPr>
      <w:r>
        <w:t>(b) Contribution to Policy Formulation (Max 2 pages)</w:t>
      </w:r>
    </w:p>
    <w:p>
      <w:r>
        <w:t>REQUIRED AREAS (from Application Form):</w:t>
      </w:r>
    </w:p>
    <w:p>
      <w:pPr>
        <w:pStyle w:val="ListNumber"/>
      </w:pPr>
      <w:r>
        <w:t>Which existing public policy/policies does the proposed study aim to enhance? What are the perceived strengths and limitations?</w:t>
      </w:r>
    </w:p>
    <w:p>
      <w:pPr>
        <w:pStyle w:val="ListNumber"/>
      </w:pPr>
      <w:r>
        <w:t>Why is the proposed study necessary in terms of public policy development?</w:t>
      </w:r>
    </w:p>
    <w:p>
      <w:pPr>
        <w:pStyle w:val="ListNumber"/>
      </w:pPr>
      <w:r>
        <w:t>How can study findings be translated into concrete and implementable policy recommendations? List key deliverables, dissemination plans, and quantifiable indicators.</w:t>
      </w:r>
    </w:p>
    <w:p>
      <w:pPr>
        <w:pStyle w:val="ListNumber"/>
      </w:pPr>
      <w:r>
        <w:t>What measures will test the feasibility and practicality of policy recommendations?</w:t>
      </w:r>
    </w:p>
    <w:p>
      <w:pPr>
        <w:pStyle w:val="ListNumber"/>
      </w:pPr>
      <w:r>
        <w:t>Other information demonstrating significance to policy formulation.</w:t>
      </w:r>
    </w:p>
    <w:p/>
    <w:p>
      <w:r>
        <w:t>REAL EXAMPLE from 2015.A4.008.15C (Diabetes Care PPP):</w:t>
      </w:r>
    </w:p>
    <w:p>
      <w:pPr/>
      <w:r>
        <w:rPr>
          <w:rFonts w:ascii="Courier New" w:hAnsi="Courier New"/>
          <w:sz w:val="20"/>
        </w:rPr>
        <w:t>(i) Existing Policy and Limitations</w:t>
        <w:br/>
      </w:r>
      <w:r>
        <w:rPr>
          <w:rFonts w:ascii="Courier New" w:hAnsi="Courier New"/>
          <w:sz w:val="20"/>
        </w:rPr>
        <w:br/>
      </w:r>
      <w:r>
        <w:rPr>
          <w:rFonts w:ascii="Courier New" w:hAnsi="Courier New"/>
          <w:sz w:val="20"/>
        </w:rPr>
        <w:t>The Hospital Authority (HA) currently provides over 90% of inpatient care and</w:t>
        <w:br/>
      </w:r>
      <w:r>
        <w:rPr>
          <w:rFonts w:ascii="Courier New" w:hAnsi="Courier New"/>
          <w:sz w:val="20"/>
        </w:rPr>
        <w:t>70% of outpatient care in Hong Kong. With an estimated 600,000 adults having</w:t>
        <w:br/>
      </w:r>
      <w:r>
        <w:rPr>
          <w:rFonts w:ascii="Courier New" w:hAnsi="Courier New"/>
          <w:sz w:val="20"/>
        </w:rPr>
        <w:t>diabetes, approximately 400,000 are followed up in the HA setting. However,</w:t>
        <w:br/>
      </w:r>
      <w:r>
        <w:rPr>
          <w:rFonts w:ascii="Courier New" w:hAnsi="Courier New"/>
          <w:sz w:val="20"/>
        </w:rPr>
        <w:t>the current system faces significant challenges:</w:t>
        <w:br/>
      </w:r>
      <w:r>
        <w:rPr>
          <w:rFonts w:ascii="Courier New" w:hAnsi="Courier New"/>
          <w:sz w:val="20"/>
        </w:rPr>
        <w:br/>
      </w:r>
      <w:r>
        <w:rPr>
          <w:rFonts w:ascii="Courier New" w:hAnsi="Courier New"/>
          <w:sz w:val="20"/>
        </w:rPr>
        <w:t>- HA employs 45% of registered doctors but manages 90% of diabetes patients</w:t>
        <w:br/>
      </w:r>
      <w:r>
        <w:rPr>
          <w:rFonts w:ascii="Courier New" w:hAnsi="Courier New"/>
          <w:sz w:val="20"/>
        </w:rPr>
        <w:t>- Huge differences in drug acquisition costs between public and private sectors</w:t>
        <w:br/>
      </w:r>
      <w:r>
        <w:rPr>
          <w:rFonts w:ascii="Courier New" w:hAnsi="Courier New"/>
          <w:sz w:val="20"/>
        </w:rPr>
        <w:t>- Lack of support for comprehensive assessment outside HA setting</w:t>
        <w:br/>
      </w:r>
      <w:r>
        <w:rPr>
          <w:rFonts w:ascii="Courier New" w:hAnsi="Courier New"/>
          <w:sz w:val="20"/>
        </w:rPr>
        <w:t>- Fee-for-service model excludes private doctors from providing quality care</w:t>
        <w:br/>
      </w:r>
      <w:r>
        <w:rPr>
          <w:rFonts w:ascii="Courier New" w:hAnsi="Courier New"/>
          <w:sz w:val="20"/>
        </w:rPr>
        <w:br/>
      </w:r>
      <w:r>
        <w:rPr>
          <w:rFonts w:ascii="Courier New" w:hAnsi="Courier New"/>
          <w:sz w:val="20"/>
        </w:rPr>
        <w:t>(ii) Necessity of Proposed Study</w:t>
        <w:br/>
      </w:r>
      <w:r>
        <w:rPr>
          <w:rFonts w:ascii="Courier New" w:hAnsi="Courier New"/>
          <w:sz w:val="20"/>
        </w:rPr>
        <w:br/>
      </w:r>
      <w:r>
        <w:rPr>
          <w:rFonts w:ascii="Courier New" w:hAnsi="Courier New"/>
          <w:sz w:val="20"/>
        </w:rPr>
        <w:t>Quality diabetes care can save lives and money through stable doctor-patient</w:t>
        <w:br/>
      </w:r>
      <w:r>
        <w:rPr>
          <w:rFonts w:ascii="Courier New" w:hAnsi="Courier New"/>
          <w:sz w:val="20"/>
        </w:rPr>
        <w:t>relationships, patient education, long-term medications, and regular monitoring.</w:t>
        <w:br/>
      </w:r>
      <w:r>
        <w:rPr>
          <w:rFonts w:ascii="Courier New" w:hAnsi="Courier New"/>
          <w:sz w:val="20"/>
        </w:rPr>
        <w:t>The JADE Program has demonstrated 20-50% lower hospitalization rates compared</w:t>
        <w:br/>
      </w:r>
      <w:r>
        <w:rPr>
          <w:rFonts w:ascii="Courier New" w:hAnsi="Courier New"/>
          <w:sz w:val="20"/>
        </w:rPr>
        <w:t>to standard care. This study will provide evidence for scaling up this model</w:t>
        <w:br/>
      </w:r>
      <w:r>
        <w:rPr>
          <w:rFonts w:ascii="Courier New" w:hAnsi="Courier New"/>
          <w:sz w:val="20"/>
        </w:rPr>
        <w:t>through public-private partnership.</w:t>
        <w:br/>
      </w:r>
      <w:r>
        <w:rPr>
          <w:rFonts w:ascii="Courier New" w:hAnsi="Courier New"/>
          <w:sz w:val="20"/>
        </w:rPr>
        <w:br/>
      </w:r>
      <w:r>
        <w:rPr>
          <w:rFonts w:ascii="Courier New" w:hAnsi="Courier New"/>
          <w:sz w:val="20"/>
        </w:rPr>
        <w:t>(iii) Translation to Policy Recommendations</w:t>
        <w:br/>
      </w:r>
      <w:r>
        <w:rPr>
          <w:rFonts w:ascii="Courier New" w:hAnsi="Courier New"/>
          <w:sz w:val="20"/>
        </w:rPr>
        <w:br/>
      </w:r>
      <w:r>
        <w:rPr>
          <w:rFonts w:ascii="Courier New" w:hAnsi="Courier New"/>
          <w:sz w:val="20"/>
        </w:rPr>
        <w:t>Key deliverables include:</w:t>
        <w:br/>
      </w:r>
      <w:r>
        <w:rPr>
          <w:rFonts w:ascii="Courier New" w:hAnsi="Courier New"/>
          <w:sz w:val="20"/>
        </w:rPr>
        <w:t>- Validated Chinese Diabetes Outcome Model for projecting clinical outcomes</w:t>
        <w:br/>
      </w:r>
      <w:r>
        <w:rPr>
          <w:rFonts w:ascii="Courier New" w:hAnsi="Courier New"/>
          <w:sz w:val="20"/>
        </w:rPr>
        <w:t>- Cost-benefit analysis of PPP implementation</w:t>
        <w:br/>
      </w:r>
      <w:r>
        <w:rPr>
          <w:rFonts w:ascii="Courier New" w:hAnsi="Courier New"/>
          <w:sz w:val="20"/>
        </w:rPr>
        <w:t>- Policy brief for government stakeholders</w:t>
        <w:br/>
      </w:r>
      <w:r>
        <w:rPr>
          <w:rFonts w:ascii="Courier New" w:hAnsi="Courier New"/>
          <w:sz w:val="20"/>
        </w:rPr>
        <w:t>- Implementation guidelines for healthcare providers</w:t>
        <w:br/>
      </w:r>
      <w:r>
        <w:rPr>
          <w:rFonts w:ascii="Courier New" w:hAnsi="Courier New"/>
          <w:sz w:val="20"/>
        </w:rPr>
        <w:br/>
      </w:r>
      <w:r>
        <w:rPr>
          <w:rFonts w:ascii="Courier New" w:hAnsi="Courier New"/>
          <w:sz w:val="20"/>
        </w:rPr>
        <w:t>Quantifiable indicators:</w:t>
        <w:br/>
      </w:r>
      <w:r>
        <w:rPr>
          <w:rFonts w:ascii="Courier New" w:hAnsi="Courier New"/>
          <w:sz w:val="20"/>
        </w:rPr>
        <w:t>- Projected reduction in hospitalizations</w:t>
        <w:br/>
      </w:r>
      <w:r>
        <w:rPr>
          <w:rFonts w:ascii="Courier New" w:hAnsi="Courier New"/>
          <w:sz w:val="20"/>
        </w:rPr>
        <w:t>- Estimated cost savings over 15-year period</w:t>
        <w:br/>
      </w:r>
      <w:r>
        <w:rPr>
          <w:rFonts w:ascii="Courier New" w:hAnsi="Courier New"/>
          <w:sz w:val="20"/>
        </w:rPr>
        <w:t>- Number of patients benefiting from PPP scheme</w:t>
        <w:br/>
      </w:r>
      <w:r>
        <w:rPr>
          <w:rFonts w:ascii="Courier New" w:hAnsi="Courier New"/>
          <w:sz w:val="20"/>
        </w:rPr>
        <w:br/>
      </w:r>
      <w:r>
        <w:rPr>
          <w:rFonts w:ascii="Courier New" w:hAnsi="Courier New"/>
          <w:sz w:val="20"/>
        </w:rPr>
        <w:t>(iv) Feasibility Testing</w:t>
        <w:br/>
      </w:r>
      <w:r>
        <w:rPr>
          <w:rFonts w:ascii="Courier New" w:hAnsi="Courier New"/>
          <w:sz w:val="20"/>
        </w:rPr>
        <w:br/>
      </w:r>
      <w:r>
        <w:rPr>
          <w:rFonts w:ascii="Courier New" w:hAnsi="Courier New"/>
          <w:sz w:val="20"/>
        </w:rPr>
        <w:t>- Stakeholder consultations with HA, Bureau, and insurers</w:t>
        <w:br/>
      </w:r>
      <w:r>
        <w:rPr>
          <w:rFonts w:ascii="Courier New" w:hAnsi="Courier New"/>
          <w:sz w:val="20"/>
        </w:rPr>
        <w:t>- Cost-effectiveness analysis using simulation model</w:t>
        <w:br/>
      </w:r>
      <w:r>
        <w:rPr>
          <w:rFonts w:ascii="Courier New" w:hAnsi="Courier New"/>
          <w:sz w:val="20"/>
        </w:rPr>
        <w:t>- Pilot implementation data from existing JADE centres</w:t>
        <w:br/>
      </w:r>
      <w:r>
        <w:rPr>
          <w:rFonts w:ascii="Courier New" w:hAnsi="Courier New"/>
          <w:sz w:val="20"/>
        </w:rPr>
        <w:t>- Feedback collection from patients and care providers</w:t>
        <w:br/>
      </w:r>
    </w:p>
    <w:p/>
    <w:p>
      <w:pPr>
        <w:pStyle w:val="Heading3"/>
      </w:pPr>
      <w:r>
        <w:t>2.1.2 Background, Research Plan, Methodology and Dissemination</w:t>
      </w:r>
    </w:p>
    <w:p>
      <w:pPr>
        <w:pStyle w:val="Heading4"/>
      </w:pPr>
      <w:r>
        <w:t>(a) Background of Research (Max 6 pages)</w:t>
      </w:r>
    </w:p>
    <w:p>
      <w:r>
        <w:t>Structure observed in successful reports:</w:t>
      </w:r>
    </w:p>
    <w:p>
      <w:pPr>
        <w:pStyle w:val="ListNumber"/>
      </w:pPr>
      <w:r>
        <w:t>**Policy Context** (1-2 pages)</w:t>
      </w:r>
    </w:p>
    <w:p>
      <w:r>
        <w:t>- Current policy landscape</w:t>
      </w:r>
    </w:p>
    <w:p>
      <w:r>
        <w:t>- Recent policy developments</w:t>
      </w:r>
    </w:p>
    <w:p>
      <w:r>
        <w:t>- Government priorities and initiatives</w:t>
      </w:r>
    </w:p>
    <w:p>
      <w:pPr>
        <w:pStyle w:val="ListNumber"/>
      </w:pPr>
      <w:r>
        <w:t>**Literature Review** (2-3 pages)</w:t>
      </w:r>
    </w:p>
    <w:p>
      <w:r>
        <w:t>- International perspectives</w:t>
      </w:r>
    </w:p>
    <w:p>
      <w:r>
        <w:t>- Local context</w:t>
      </w:r>
    </w:p>
    <w:p>
      <w:r>
        <w:t>- Theoretical framework</w:t>
      </w:r>
    </w:p>
    <w:p>
      <w:r>
        <w:t>- Research gaps</w:t>
      </w:r>
    </w:p>
    <w:p>
      <w:pPr>
        <w:pStyle w:val="ListNumber"/>
      </w:pPr>
      <w:r>
        <w:t>**Rationale and Significance** (1 page)</w:t>
      </w:r>
    </w:p>
    <w:p>
      <w:r>
        <w:t>- Why this research is needed now</w:t>
      </w:r>
    </w:p>
    <w:p>
      <w:r>
        <w:t>- Unique contribution</w:t>
      </w:r>
    </w:p>
    <w:p/>
    <w:p>
      <w:r>
        <w:t>REAL EXAMPLE from 2013.A3.002.13A (Optional Retirement):</w:t>
      </w:r>
    </w:p>
    <w:p>
      <w:pPr/>
      <w:r>
        <w:rPr>
          <w:rFonts w:ascii="Courier New" w:hAnsi="Courier New"/>
          <w:sz w:val="20"/>
        </w:rPr>
        <w:t>1. Policy Context</w:t>
        <w:br/>
      </w:r>
      <w:r>
        <w:rPr>
          <w:rFonts w:ascii="Courier New" w:hAnsi="Courier New"/>
          <w:sz w:val="20"/>
        </w:rPr>
        <w:br/>
      </w:r>
      <w:r>
        <w:rPr>
          <w:rFonts w:ascii="Courier New" w:hAnsi="Courier New"/>
          <w:sz w:val="20"/>
        </w:rPr>
        <w:t>The population in Hong Kong is ageing at an unprecedented speed, with a</w:t>
        <w:br/>
      </w:r>
      <w:r>
        <w:rPr>
          <w:rFonts w:ascii="Courier New" w:hAnsi="Courier New"/>
          <w:sz w:val="20"/>
        </w:rPr>
        <w:t>projection in 2041 that the population of 65-years-old or over will increase</w:t>
        <w:br/>
      </w:r>
      <w:r>
        <w:rPr>
          <w:rFonts w:ascii="Courier New" w:hAnsi="Courier New"/>
          <w:sz w:val="20"/>
        </w:rPr>
        <w:t>to over two million. Many organizations have set the retirement age for their</w:t>
        <w:br/>
      </w:r>
      <w:r>
        <w:rPr>
          <w:rFonts w:ascii="Courier New" w:hAnsi="Courier New"/>
          <w:sz w:val="20"/>
        </w:rPr>
        <w:t>employees at 60, which wastes precious skills and manpower unnecessarily.</w:t>
        <w:br/>
      </w:r>
      <w:r>
        <w:rPr>
          <w:rFonts w:ascii="Courier New" w:hAnsi="Courier New"/>
          <w:sz w:val="20"/>
        </w:rPr>
        <w:br/>
      </w:r>
      <w:r>
        <w:rPr>
          <w:rFonts w:ascii="Courier New" w:hAnsi="Courier New"/>
          <w:sz w:val="20"/>
        </w:rPr>
        <w:t>Previous studies have shown that Hong Kong employees have the willingness to</w:t>
        <w:br/>
      </w:r>
      <w:r>
        <w:rPr>
          <w:rFonts w:ascii="Courier New" w:hAnsi="Courier New"/>
          <w:sz w:val="20"/>
        </w:rPr>
        <w:t>work beyond the current retirement age. With the ever-growing life expectancy,</w:t>
        <w:br/>
      </w:r>
      <w:r>
        <w:rPr>
          <w:rFonts w:ascii="Courier New" w:hAnsi="Courier New"/>
          <w:sz w:val="20"/>
        </w:rPr>
        <w:t>insufficient pension generated during a working life leads to a tremendous</w:t>
        <w:br/>
      </w:r>
      <w:r>
        <w:rPr>
          <w:rFonts w:ascii="Courier New" w:hAnsi="Courier New"/>
          <w:sz w:val="20"/>
        </w:rPr>
        <w:t>economic cost of retirement.</w:t>
        <w:br/>
      </w:r>
      <w:r>
        <w:rPr>
          <w:rFonts w:ascii="Courier New" w:hAnsi="Courier New"/>
          <w:sz w:val="20"/>
        </w:rPr>
        <w:br/>
      </w:r>
      <w:r>
        <w:rPr>
          <w:rFonts w:ascii="Courier New" w:hAnsi="Courier New"/>
          <w:sz w:val="20"/>
        </w:rPr>
        <w:t>2. Literature Review</w:t>
        <w:br/>
      </w:r>
      <w:r>
        <w:rPr>
          <w:rFonts w:ascii="Courier New" w:hAnsi="Courier New"/>
          <w:sz w:val="20"/>
        </w:rPr>
        <w:br/>
      </w:r>
      <w:r>
        <w:rPr>
          <w:rFonts w:ascii="Courier New" w:hAnsi="Courier New"/>
          <w:sz w:val="20"/>
        </w:rPr>
        <w:t>2.1 Regional Experience on Retirement Arrangements</w:t>
        <w:br/>
      </w:r>
      <w:r>
        <w:rPr>
          <w:rFonts w:ascii="Courier New" w:hAnsi="Courier New"/>
          <w:sz w:val="20"/>
        </w:rPr>
        <w:br/>
      </w:r>
      <w:r>
        <w:rPr>
          <w:rFonts w:ascii="Courier New" w:hAnsi="Courier New"/>
          <w:sz w:val="20"/>
        </w:rPr>
        <w:t>European Union: The EU has implemented various measures including extending</w:t>
        <w:br/>
      </w:r>
      <w:r>
        <w:rPr>
          <w:rFonts w:ascii="Courier New" w:hAnsi="Courier New"/>
          <w:sz w:val="20"/>
        </w:rPr>
        <w:t>retirement age, promoting flexible working arrangements, and providing</w:t>
        <w:br/>
      </w:r>
      <w:r>
        <w:rPr>
          <w:rFonts w:ascii="Courier New" w:hAnsi="Courier New"/>
          <w:sz w:val="20"/>
        </w:rPr>
        <w:t>incentives for employers to retain older workers.</w:t>
        <w:br/>
      </w:r>
      <w:r>
        <w:rPr>
          <w:rFonts w:ascii="Courier New" w:hAnsi="Courier New"/>
          <w:sz w:val="20"/>
        </w:rPr>
        <w:br/>
      </w:r>
      <w:r>
        <w:rPr>
          <w:rFonts w:ascii="Courier New" w:hAnsi="Courier New"/>
          <w:sz w:val="20"/>
        </w:rPr>
        <w:t>Finland: Implemented comprehensive pension reform with flexible retirement</w:t>
        <w:br/>
      </w:r>
      <w:r>
        <w:rPr>
          <w:rFonts w:ascii="Courier New" w:hAnsi="Courier New"/>
          <w:sz w:val="20"/>
        </w:rPr>
        <w:t>options between ages 63-68.</w:t>
        <w:br/>
      </w:r>
      <w:r>
        <w:rPr>
          <w:rFonts w:ascii="Courier New" w:hAnsi="Courier New"/>
          <w:sz w:val="20"/>
        </w:rPr>
        <w:br/>
      </w:r>
      <w:r>
        <w:rPr>
          <w:rFonts w:ascii="Courier New" w:hAnsi="Courier New"/>
          <w:sz w:val="20"/>
        </w:rPr>
        <w:t>United Kingdom: Centre for Diversity Policy Research and Practice (2011)</w:t>
        <w:br/>
      </w:r>
      <w:r>
        <w:rPr>
          <w:rFonts w:ascii="Courier New" w:hAnsi="Courier New"/>
          <w:sz w:val="20"/>
        </w:rPr>
        <w:t>designed an optional retirement model with four options:</w:t>
        <w:br/>
      </w:r>
      <w:r>
        <w:rPr>
          <w:rFonts w:ascii="Courier New" w:hAnsi="Courier New"/>
          <w:sz w:val="20"/>
        </w:rPr>
        <w:t>- Option 1: Continue working on same contract</w:t>
        <w:br/>
      </w:r>
      <w:r>
        <w:rPr>
          <w:rFonts w:ascii="Courier New" w:hAnsi="Courier New"/>
          <w:sz w:val="20"/>
        </w:rPr>
        <w:t>- Option 2: Phased retirement arrangements</w:t>
        <w:br/>
      </w:r>
      <w:r>
        <w:rPr>
          <w:rFonts w:ascii="Courier New" w:hAnsi="Courier New"/>
          <w:sz w:val="20"/>
        </w:rPr>
        <w:t>- Option 3: Post-retirement contract</w:t>
        <w:br/>
      </w:r>
      <w:r>
        <w:rPr>
          <w:rFonts w:ascii="Courier New" w:hAnsi="Courier New"/>
          <w:sz w:val="20"/>
        </w:rPr>
        <w:t>- Option 4: Consultant or freelancer</w:t>
        <w:br/>
      </w:r>
      <w:r>
        <w:rPr>
          <w:rFonts w:ascii="Courier New" w:hAnsi="Courier New"/>
          <w:sz w:val="20"/>
        </w:rPr>
        <w:br/>
      </w:r>
      <w:r>
        <w:rPr>
          <w:rFonts w:ascii="Courier New" w:hAnsi="Courier New"/>
          <w:sz w:val="20"/>
        </w:rPr>
        <w:t>Singapore: Retirement and Re-employment Act (RRA) requires employers to</w:t>
        <w:br/>
      </w:r>
      <w:r>
        <w:rPr>
          <w:rFonts w:ascii="Courier New" w:hAnsi="Courier New"/>
          <w:sz w:val="20"/>
        </w:rPr>
        <w:t>offer re-employment to eligible employees up to age 65.</w:t>
        <w:br/>
      </w:r>
      <w:r>
        <w:rPr>
          <w:rFonts w:ascii="Courier New" w:hAnsi="Courier New"/>
          <w:sz w:val="20"/>
        </w:rPr>
        <w:br/>
      </w:r>
      <w:r>
        <w:rPr>
          <w:rFonts w:ascii="Courier New" w:hAnsi="Courier New"/>
          <w:sz w:val="20"/>
        </w:rPr>
        <w:t>2.2 Hong Kong Context</w:t>
        <w:br/>
      </w:r>
      <w:r>
        <w:rPr>
          <w:rFonts w:ascii="Courier New" w:hAnsi="Courier New"/>
          <w:sz w:val="20"/>
        </w:rPr>
        <w:br/>
      </w:r>
      <w:r>
        <w:rPr>
          <w:rFonts w:ascii="Courier New" w:hAnsi="Courier New"/>
          <w:sz w:val="20"/>
        </w:rPr>
        <w:t>In the public sector, normal retirement age is 55-60 depending on pension</w:t>
        <w:br/>
      </w:r>
      <w:r>
        <w:rPr>
          <w:rFonts w:ascii="Courier New" w:hAnsi="Courier New"/>
          <w:sz w:val="20"/>
        </w:rPr>
        <w:t>scheme. In the private sector, most organizations set retirement age at 60.</w:t>
        <w:br/>
      </w:r>
      <w:r>
        <w:rPr>
          <w:rFonts w:ascii="Courier New" w:hAnsi="Courier New"/>
          <w:sz w:val="20"/>
        </w:rPr>
        <w:t>Hong Kong Institute of Asia-Pacific Studies (2014) indicated 75% respondents</w:t>
        <w:br/>
      </w:r>
      <w:r>
        <w:rPr>
          <w:rFonts w:ascii="Courier New" w:hAnsi="Courier New"/>
          <w:sz w:val="20"/>
        </w:rPr>
        <w:t>have shown intention to extend their working life.</w:t>
        <w:br/>
      </w:r>
      <w:r>
        <w:rPr>
          <w:rFonts w:ascii="Courier New" w:hAnsi="Courier New"/>
          <w:sz w:val="20"/>
        </w:rPr>
        <w:br/>
      </w:r>
      <w:r>
        <w:rPr>
          <w:rFonts w:ascii="Courier New" w:hAnsi="Courier New"/>
          <w:sz w:val="20"/>
        </w:rPr>
        <w:t>3. Research Gap</w:t>
        <w:br/>
      </w:r>
      <w:r>
        <w:rPr>
          <w:rFonts w:ascii="Courier New" w:hAnsi="Courier New"/>
          <w:sz w:val="20"/>
        </w:rPr>
        <w:br/>
      </w:r>
      <w:r>
        <w:rPr>
          <w:rFonts w:ascii="Courier New" w:hAnsi="Courier New"/>
          <w:sz w:val="20"/>
        </w:rPr>
        <w:t>Limited local studies exist on optional retirement implementation. This study</w:t>
        <w:br/>
      </w:r>
      <w:r>
        <w:rPr>
          <w:rFonts w:ascii="Courier New" w:hAnsi="Courier New"/>
          <w:sz w:val="20"/>
        </w:rPr>
        <w:t>addresses this gap by examining preferences and feasibility from both employer</w:t>
        <w:br/>
      </w:r>
      <w:r>
        <w:rPr>
          <w:rFonts w:ascii="Courier New" w:hAnsi="Courier New"/>
          <w:sz w:val="20"/>
        </w:rPr>
        <w:t>and employee perspectives.</w:t>
        <w:br/>
      </w:r>
    </w:p>
    <w:p/>
    <w:p>
      <w:pPr>
        <w:pStyle w:val="Heading4"/>
      </w:pPr>
      <w:r>
        <w:t>(b) Research Plan and Methodology (Max 7 pages)</w:t>
      </w:r>
    </w:p>
    <w:p>
      <w:r>
        <w:t>Structure observed in successful reports:</w:t>
      </w:r>
    </w:p>
    <w:p>
      <w:pPr>
        <w:pStyle w:val="ListNumber"/>
      </w:pPr>
      <w:r>
        <w:t>**Study Design** (0.5 page)</w:t>
      </w:r>
    </w:p>
    <w:p>
      <w:pPr>
        <w:pStyle w:val="ListNumber"/>
      </w:pPr>
      <w:r>
        <w:t>**Quantitative Component** (2-3 pages)</w:t>
      </w:r>
    </w:p>
    <w:p>
      <w:r>
        <w:t>- Sampling strategy</w:t>
      </w:r>
    </w:p>
    <w:p>
      <w:r>
        <w:t>- Sample size justification</w:t>
      </w:r>
    </w:p>
    <w:p>
      <w:r>
        <w:t>- Instrument description</w:t>
      </w:r>
    </w:p>
    <w:p>
      <w:r>
        <w:t>- Data collection procedures</w:t>
      </w:r>
    </w:p>
    <w:p>
      <w:r>
        <w:t>- Analysis methods</w:t>
      </w:r>
    </w:p>
    <w:p>
      <w:pPr>
        <w:pStyle w:val="ListNumber"/>
      </w:pPr>
      <w:r>
        <w:t>**Qualitative Component** (2-3 pages)</w:t>
      </w:r>
    </w:p>
    <w:p>
      <w:r>
        <w:t>- Participant selection</w:t>
      </w:r>
    </w:p>
    <w:p>
      <w:r>
        <w:t>- Data collection methods</w:t>
      </w:r>
    </w:p>
    <w:p>
      <w:r>
        <w:t>- Analysis approach</w:t>
      </w:r>
    </w:p>
    <w:p>
      <w:pPr>
        <w:pStyle w:val="ListNumber"/>
      </w:pPr>
      <w:r>
        <w:t>**Integration** (0.5 page)</w:t>
      </w:r>
    </w:p>
    <w:p>
      <w:pPr>
        <w:pStyle w:val="ListNumber"/>
      </w:pPr>
      <w:r>
        <w:t>**Ethical Considerations** (0.5 page)</w:t>
      </w:r>
    </w:p>
    <w:p/>
    <w:p>
      <w:r>
        <w:t>REAL EXAMPLE from 2015.A1.023.15C (Youth Violence &amp; Social Capital):</w:t>
      </w:r>
    </w:p>
    <w:p>
      <w:pPr/>
      <w:r>
        <w:rPr>
          <w:rFonts w:ascii="Courier New" w:hAnsi="Courier New"/>
          <w:sz w:val="20"/>
        </w:rPr>
        <w:t>RESEARCH METHODOLOGY</w:t>
        <w:br/>
      </w:r>
      <w:r>
        <w:rPr>
          <w:rFonts w:ascii="Courier New" w:hAnsi="Courier New"/>
          <w:sz w:val="20"/>
        </w:rPr>
        <w:br/>
      </w:r>
      <w:r>
        <w:rPr>
          <w:rFonts w:ascii="Courier New" w:hAnsi="Courier New"/>
          <w:sz w:val="20"/>
        </w:rPr>
        <w:t>Study Design</w:t>
        <w:br/>
      </w:r>
      <w:r>
        <w:rPr>
          <w:rFonts w:ascii="Courier New" w:hAnsi="Courier New"/>
          <w:sz w:val="20"/>
        </w:rPr>
        <w:t>This study employs a mixed-methods approach combining quantitative survey</w:t>
        <w:br/>
      </w:r>
      <w:r>
        <w:rPr>
          <w:rFonts w:ascii="Courier New" w:hAnsi="Courier New"/>
          <w:sz w:val="20"/>
        </w:rPr>
        <w:t>research with qualitative focus group discussions.</w:t>
        <w:br/>
      </w:r>
      <w:r>
        <w:rPr>
          <w:rFonts w:ascii="Courier New" w:hAnsi="Courier New"/>
          <w:sz w:val="20"/>
        </w:rPr>
        <w:br/>
      </w:r>
      <w:r>
        <w:rPr>
          <w:rFonts w:ascii="Courier New" w:hAnsi="Courier New"/>
          <w:sz w:val="20"/>
        </w:rPr>
        <w:t>Quantitative Component</w:t>
        <w:br/>
      </w:r>
      <w:r>
        <w:rPr>
          <w:rFonts w:ascii="Courier New" w:hAnsi="Courier New"/>
          <w:sz w:val="20"/>
        </w:rPr>
        <w:br/>
      </w:r>
      <w:r>
        <w:rPr>
          <w:rFonts w:ascii="Courier New" w:hAnsi="Courier New"/>
          <w:sz w:val="20"/>
        </w:rPr>
        <w:t>Sampling:</w:t>
        <w:br/>
      </w:r>
      <w:r>
        <w:rPr>
          <w:rFonts w:ascii="Courier New" w:hAnsi="Courier New"/>
          <w:sz w:val="20"/>
        </w:rPr>
        <w:t>- Target population: Chinese-speaking youths aged 16 to 24 years</w:t>
        <w:br/>
      </w:r>
      <w:r>
        <w:rPr>
          <w:rFonts w:ascii="Courier New" w:hAnsi="Courier New"/>
          <w:sz w:val="20"/>
        </w:rPr>
        <w:t>- Sampling method: Simple random sampling from residential addresses</w:t>
        <w:br/>
      </w:r>
      <w:r>
        <w:rPr>
          <w:rFonts w:ascii="Courier New" w:hAnsi="Courier New"/>
          <w:sz w:val="20"/>
        </w:rPr>
        <w:t>- Sample size: 2,316 youths (2,176 from residences, 140 from youth services)</w:t>
        <w:br/>
      </w:r>
      <w:r>
        <w:rPr>
          <w:rFonts w:ascii="Courier New" w:hAnsi="Courier New"/>
          <w:sz w:val="20"/>
        </w:rPr>
        <w:t>- Response rate: 55.0%</w:t>
        <w:br/>
      </w:r>
      <w:r>
        <w:rPr>
          <w:rFonts w:ascii="Courier New" w:hAnsi="Courier New"/>
          <w:sz w:val="20"/>
        </w:rPr>
        <w:br/>
      </w:r>
      <w:r>
        <w:rPr>
          <w:rFonts w:ascii="Courier New" w:hAnsi="Courier New"/>
          <w:sz w:val="20"/>
        </w:rPr>
        <w:t>Instrument:</w:t>
        <w:br/>
      </w:r>
      <w:r>
        <w:rPr>
          <w:rFonts w:ascii="Courier New" w:hAnsi="Courier New"/>
          <w:sz w:val="20"/>
        </w:rPr>
        <w:t>The survey questionnaire measures:</w:t>
        <w:br/>
      </w:r>
      <w:r>
        <w:rPr>
          <w:rFonts w:ascii="Courier New" w:hAnsi="Courier New"/>
          <w:sz w:val="20"/>
        </w:rPr>
        <w:t>- Violence involvement (perpetration, victimization, witnessing)</w:t>
        <w:br/>
      </w:r>
      <w:r>
        <w:rPr>
          <w:rFonts w:ascii="Courier New" w:hAnsi="Courier New"/>
          <w:sz w:val="20"/>
        </w:rPr>
        <w:t>- Social capital indicators (peer network, elder network, linchpin network)</w:t>
        <w:br/>
      </w:r>
      <w:r>
        <w:rPr>
          <w:rFonts w:ascii="Courier New" w:hAnsi="Courier New"/>
          <w:sz w:val="20"/>
        </w:rPr>
        <w:t>- Policy exposure (youth services, volunteer service invitations)</w:t>
        <w:br/>
      </w:r>
      <w:r>
        <w:rPr>
          <w:rFonts w:ascii="Courier New" w:hAnsi="Courier New"/>
          <w:sz w:val="20"/>
        </w:rPr>
        <w:t>- Demographics</w:t>
        <w:br/>
      </w:r>
      <w:r>
        <w:rPr>
          <w:rFonts w:ascii="Courier New" w:hAnsi="Courier New"/>
          <w:sz w:val="20"/>
        </w:rPr>
        <w:br/>
      </w:r>
      <w:r>
        <w:rPr>
          <w:rFonts w:ascii="Courier New" w:hAnsi="Courier New"/>
          <w:sz w:val="20"/>
        </w:rPr>
        <w:t>Data Collection:</w:t>
        <w:br/>
      </w:r>
      <w:r>
        <w:rPr>
          <w:rFonts w:ascii="Courier New" w:hAnsi="Courier New"/>
          <w:sz w:val="20"/>
        </w:rPr>
        <w:t>- Method: Face-to-face interviews at residences and youth service units</w:t>
        <w:br/>
      </w:r>
      <w:r>
        <w:rPr>
          <w:rFonts w:ascii="Courier New" w:hAnsi="Courier New"/>
          <w:sz w:val="20"/>
        </w:rPr>
        <w:t>- Duration: September 2014 to May 2016</w:t>
        <w:br/>
      </w:r>
      <w:r>
        <w:rPr>
          <w:rFonts w:ascii="Courier New" w:hAnsi="Courier New"/>
          <w:sz w:val="20"/>
        </w:rPr>
        <w:t>- Quality control: Working meetings with youth service units</w:t>
        <w:br/>
      </w:r>
      <w:r>
        <w:rPr>
          <w:rFonts w:ascii="Courier New" w:hAnsi="Courier New"/>
          <w:sz w:val="20"/>
        </w:rPr>
        <w:br/>
      </w:r>
      <w:r>
        <w:rPr>
          <w:rFonts w:ascii="Courier New" w:hAnsi="Courier New"/>
          <w:sz w:val="20"/>
        </w:rPr>
        <w:t>Analysis:</w:t>
        <w:br/>
      </w:r>
      <w:r>
        <w:rPr>
          <w:rFonts w:ascii="Courier New" w:hAnsi="Courier New"/>
          <w:sz w:val="20"/>
        </w:rPr>
        <w:t>- Regression analysis to examine relationships between variables</w:t>
        <w:br/>
      </w:r>
      <w:r>
        <w:rPr>
          <w:rFonts w:ascii="Courier New" w:hAnsi="Courier New"/>
          <w:sz w:val="20"/>
        </w:rPr>
        <w:t>- Standardized effects (β) reported for all relationships</w:t>
        <w:br/>
      </w:r>
      <w:r>
        <w:rPr>
          <w:rFonts w:ascii="Courier New" w:hAnsi="Courier New"/>
          <w:sz w:val="20"/>
        </w:rPr>
        <w:t>- Significance level: p &lt; 0.05</w:t>
        <w:br/>
      </w:r>
      <w:r>
        <w:rPr>
          <w:rFonts w:ascii="Courier New" w:hAnsi="Courier New"/>
          <w:sz w:val="20"/>
        </w:rPr>
        <w:br/>
      </w:r>
      <w:r>
        <w:rPr>
          <w:rFonts w:ascii="Courier New" w:hAnsi="Courier New"/>
          <w:sz w:val="20"/>
        </w:rPr>
        <w:t>Qualitative Component</w:t>
        <w:br/>
      </w:r>
      <w:r>
        <w:rPr>
          <w:rFonts w:ascii="Courier New" w:hAnsi="Courier New"/>
          <w:sz w:val="20"/>
        </w:rPr>
        <w:br/>
      </w:r>
      <w:r>
        <w:rPr>
          <w:rFonts w:ascii="Courier New" w:hAnsi="Courier New"/>
          <w:sz w:val="20"/>
        </w:rPr>
        <w:t>Participants:</w:t>
        <w:br/>
      </w:r>
      <w:r>
        <w:rPr>
          <w:rFonts w:ascii="Courier New" w:hAnsi="Courier New"/>
          <w:sz w:val="20"/>
        </w:rPr>
        <w:t>- 40 youths engaged in focus groups</w:t>
        <w:br/>
      </w:r>
      <w:r>
        <w:rPr>
          <w:rFonts w:ascii="Courier New" w:hAnsi="Courier New"/>
          <w:sz w:val="20"/>
        </w:rPr>
        <w:t>- Purposive sampling to ensure diversity</w:t>
        <w:br/>
      </w:r>
      <w:r>
        <w:rPr>
          <w:rFonts w:ascii="Courier New" w:hAnsi="Courier New"/>
          <w:sz w:val="20"/>
        </w:rPr>
        <w:br/>
      </w:r>
      <w:r>
        <w:rPr>
          <w:rFonts w:ascii="Courier New" w:hAnsi="Courier New"/>
          <w:sz w:val="20"/>
        </w:rPr>
        <w:t>Data Collection:</w:t>
        <w:br/>
      </w:r>
      <w:r>
        <w:rPr>
          <w:rFonts w:ascii="Courier New" w:hAnsi="Courier New"/>
          <w:sz w:val="20"/>
        </w:rPr>
        <w:t>- Semi-structured focus group discussions</w:t>
        <w:br/>
      </w:r>
      <w:r>
        <w:rPr>
          <w:rFonts w:ascii="Courier New" w:hAnsi="Courier New"/>
          <w:sz w:val="20"/>
        </w:rPr>
        <w:t>- Topics: violence experiences, social capital, policy influences</w:t>
        <w:br/>
      </w:r>
      <w:r>
        <w:rPr>
          <w:rFonts w:ascii="Courier New" w:hAnsi="Courier New"/>
          <w:sz w:val="20"/>
        </w:rPr>
        <w:br/>
      </w:r>
      <w:r>
        <w:rPr>
          <w:rFonts w:ascii="Courier New" w:hAnsi="Courier New"/>
          <w:sz w:val="20"/>
        </w:rPr>
        <w:t>Analysis:</w:t>
        <w:br/>
      </w:r>
      <w:r>
        <w:rPr>
          <w:rFonts w:ascii="Courier New" w:hAnsi="Courier New"/>
          <w:sz w:val="20"/>
        </w:rPr>
        <w:t>- Grounded theory approach</w:t>
        <w:br/>
      </w:r>
      <w:r>
        <w:rPr>
          <w:rFonts w:ascii="Courier New" w:hAnsi="Courier New"/>
          <w:sz w:val="20"/>
        </w:rPr>
        <w:t>- Thematic analysis to substantiate statistical findings</w:t>
        <w:br/>
      </w:r>
    </w:p>
    <w:p/>
    <w:p>
      <w:r>
        <w:t>REAL EXAMPLE from 2016.A4.022.16C (Palliative Care):</w:t>
      </w:r>
    </w:p>
    <w:p>
      <w:pPr/>
      <w:r>
        <w:rPr>
          <w:rFonts w:ascii="Courier New" w:hAnsi="Courier New"/>
          <w:sz w:val="20"/>
        </w:rPr>
        <w:t>RESEARCH METHODOLOGY</w:t>
        <w:br/>
      </w:r>
      <w:r>
        <w:rPr>
          <w:rFonts w:ascii="Courier New" w:hAnsi="Courier New"/>
          <w:sz w:val="20"/>
        </w:rPr>
        <w:br/>
      </w:r>
      <w:r>
        <w:rPr>
          <w:rFonts w:ascii="Courier New" w:hAnsi="Courier New"/>
          <w:sz w:val="20"/>
        </w:rPr>
        <w:t>3.1 Study Design</w:t>
        <w:br/>
      </w:r>
      <w:r>
        <w:rPr>
          <w:rFonts w:ascii="Courier New" w:hAnsi="Courier New"/>
          <w:sz w:val="20"/>
        </w:rPr>
        <w:t>A qualitative study design was adopted to explore the perspectives of</w:t>
        <w:br/>
      </w:r>
      <w:r>
        <w:rPr>
          <w:rFonts w:ascii="Courier New" w:hAnsi="Courier New"/>
          <w:sz w:val="20"/>
        </w:rPr>
        <w:t>multiple stakeholders on palliative and end-of-life care services.</w:t>
        <w:br/>
      </w:r>
      <w:r>
        <w:rPr>
          <w:rFonts w:ascii="Courier New" w:hAnsi="Courier New"/>
          <w:sz w:val="20"/>
        </w:rPr>
        <w:br/>
      </w:r>
      <w:r>
        <w:rPr>
          <w:rFonts w:ascii="Courier New" w:hAnsi="Courier New"/>
          <w:sz w:val="20"/>
        </w:rPr>
        <w:t>3.2 Participants</w:t>
        <w:br/>
      </w:r>
      <w:r>
        <w:rPr>
          <w:rFonts w:ascii="Courier New" w:hAnsi="Courier New"/>
          <w:sz w:val="20"/>
        </w:rPr>
        <w:t>67 participants were recruited, including:</w:t>
        <w:br/>
      </w:r>
      <w:r>
        <w:rPr>
          <w:rFonts w:ascii="Courier New" w:hAnsi="Courier New"/>
          <w:sz w:val="20"/>
        </w:rPr>
        <w:t>- Patients receiving palliative care</w:t>
        <w:br/>
      </w:r>
      <w:r>
        <w:rPr>
          <w:rFonts w:ascii="Courier New" w:hAnsi="Courier New"/>
          <w:sz w:val="20"/>
        </w:rPr>
        <w:t>- Family carers</w:t>
        <w:br/>
      </w:r>
      <w:r>
        <w:rPr>
          <w:rFonts w:ascii="Courier New" w:hAnsi="Courier New"/>
          <w:sz w:val="20"/>
        </w:rPr>
        <w:t>- Health professionals (doctors, nurses)</w:t>
        <w:br/>
      </w:r>
      <w:r>
        <w:rPr>
          <w:rFonts w:ascii="Courier New" w:hAnsi="Courier New"/>
          <w:sz w:val="20"/>
        </w:rPr>
        <w:t>- Administrators</w:t>
        <w:br/>
      </w:r>
      <w:r>
        <w:rPr>
          <w:rFonts w:ascii="Courier New" w:hAnsi="Courier New"/>
          <w:sz w:val="20"/>
        </w:rPr>
        <w:t>- Frontline care staff</w:t>
        <w:br/>
      </w:r>
      <w:r>
        <w:rPr>
          <w:rFonts w:ascii="Courier New" w:hAnsi="Courier New"/>
          <w:sz w:val="20"/>
        </w:rPr>
        <w:t>- Others (social workers, volunteers)</w:t>
        <w:br/>
      </w:r>
      <w:r>
        <w:rPr>
          <w:rFonts w:ascii="Courier New" w:hAnsi="Courier New"/>
          <w:sz w:val="20"/>
        </w:rPr>
        <w:br/>
      </w:r>
      <w:r>
        <w:rPr>
          <w:rFonts w:ascii="Courier New" w:hAnsi="Courier New"/>
          <w:sz w:val="20"/>
        </w:rPr>
        <w:t>3.3 Sampling Strategy</w:t>
        <w:br/>
      </w:r>
      <w:r>
        <w:rPr>
          <w:rFonts w:ascii="Courier New" w:hAnsi="Courier New"/>
          <w:sz w:val="20"/>
        </w:rPr>
        <w:t>Purposive sampling was used to ensure diversity in:</w:t>
        <w:br/>
      </w:r>
      <w:r>
        <w:rPr>
          <w:rFonts w:ascii="Courier New" w:hAnsi="Courier New"/>
          <w:sz w:val="20"/>
        </w:rPr>
        <w:t>- Types of participants</w:t>
        <w:br/>
      </w:r>
      <w:r>
        <w:rPr>
          <w:rFonts w:ascii="Courier New" w:hAnsi="Courier New"/>
          <w:sz w:val="20"/>
        </w:rPr>
        <w:t>- Care settings (hospital, community, residential)</w:t>
        <w:br/>
      </w:r>
      <w:r>
        <w:rPr>
          <w:rFonts w:ascii="Courier New" w:hAnsi="Courier New"/>
          <w:sz w:val="20"/>
        </w:rPr>
        <w:t>- Geographic locations</w:t>
        <w:br/>
      </w:r>
      <w:r>
        <w:rPr>
          <w:rFonts w:ascii="Courier New" w:hAnsi="Courier New"/>
          <w:sz w:val="20"/>
        </w:rPr>
        <w:br/>
      </w:r>
      <w:r>
        <w:rPr>
          <w:rFonts w:ascii="Courier New" w:hAnsi="Courier New"/>
          <w:sz w:val="20"/>
        </w:rPr>
        <w:t>3.4 Interview</w:t>
        <w:br/>
      </w:r>
      <w:r>
        <w:rPr>
          <w:rFonts w:ascii="Courier New" w:hAnsi="Courier New"/>
          <w:sz w:val="20"/>
        </w:rPr>
        <w:t>Semi-structured interviews were conducted using interview guides</w:t>
        <w:br/>
      </w:r>
      <w:r>
        <w:rPr>
          <w:rFonts w:ascii="Courier New" w:hAnsi="Courier New"/>
          <w:sz w:val="20"/>
        </w:rPr>
        <w:t>developed based on literature review and expert consultation.</w:t>
        <w:br/>
      </w:r>
      <w:r>
        <w:rPr>
          <w:rFonts w:ascii="Courier New" w:hAnsi="Courier New"/>
          <w:sz w:val="20"/>
        </w:rPr>
        <w:br/>
      </w:r>
      <w:r>
        <w:rPr>
          <w:rFonts w:ascii="Courier New" w:hAnsi="Courier New"/>
          <w:sz w:val="20"/>
        </w:rPr>
        <w:t>Interview topics included:</w:t>
        <w:br/>
      </w:r>
      <w:r>
        <w:rPr>
          <w:rFonts w:ascii="Courier New" w:hAnsi="Courier New"/>
          <w:sz w:val="20"/>
        </w:rPr>
        <w:t>- Current state of services</w:t>
        <w:br/>
      </w:r>
      <w:r>
        <w:rPr>
          <w:rFonts w:ascii="Courier New" w:hAnsi="Courier New"/>
          <w:sz w:val="20"/>
        </w:rPr>
        <w:t>- Strengths and achievements</w:t>
        <w:br/>
      </w:r>
      <w:r>
        <w:rPr>
          <w:rFonts w:ascii="Courier New" w:hAnsi="Courier New"/>
          <w:sz w:val="20"/>
        </w:rPr>
        <w:t>- Challenges and barriers</w:t>
        <w:br/>
      </w:r>
      <w:r>
        <w:rPr>
          <w:rFonts w:ascii="Courier New" w:hAnsi="Courier New"/>
          <w:sz w:val="20"/>
        </w:rPr>
        <w:t>- Suggestions for improvement</w:t>
        <w:br/>
      </w:r>
      <w:r>
        <w:rPr>
          <w:rFonts w:ascii="Courier New" w:hAnsi="Courier New"/>
          <w:sz w:val="20"/>
        </w:rPr>
        <w:br/>
      </w:r>
      <w:r>
        <w:rPr>
          <w:rFonts w:ascii="Courier New" w:hAnsi="Courier New"/>
          <w:sz w:val="20"/>
        </w:rPr>
        <w:t>3.5 Data Collection Procedures</w:t>
        <w:br/>
      </w:r>
      <w:r>
        <w:rPr>
          <w:rFonts w:ascii="Courier New" w:hAnsi="Courier New"/>
          <w:sz w:val="20"/>
        </w:rPr>
        <w:t>- Interviews conducted between [dates]</w:t>
        <w:br/>
      </w:r>
      <w:r>
        <w:rPr>
          <w:rFonts w:ascii="Courier New" w:hAnsi="Courier New"/>
          <w:sz w:val="20"/>
        </w:rPr>
        <w:t>- Duration: 45-90 minutes per interview</w:t>
        <w:br/>
      </w:r>
      <w:r>
        <w:rPr>
          <w:rFonts w:ascii="Courier New" w:hAnsi="Courier New"/>
          <w:sz w:val="20"/>
        </w:rPr>
        <w:t>- Audio-recorded with participant consent</w:t>
        <w:br/>
      </w:r>
      <w:r>
        <w:rPr>
          <w:rFonts w:ascii="Courier New" w:hAnsi="Courier New"/>
          <w:sz w:val="20"/>
        </w:rPr>
        <w:t>- Transcribed verbatim</w:t>
        <w:br/>
      </w:r>
      <w:r>
        <w:rPr>
          <w:rFonts w:ascii="Courier New" w:hAnsi="Courier New"/>
          <w:sz w:val="20"/>
        </w:rPr>
        <w:br/>
      </w:r>
      <w:r>
        <w:rPr>
          <w:rFonts w:ascii="Courier New" w:hAnsi="Courier New"/>
          <w:sz w:val="20"/>
        </w:rPr>
        <w:t>3.6 Data Analysis</w:t>
        <w:br/>
      </w:r>
      <w:r>
        <w:rPr>
          <w:rFonts w:ascii="Courier New" w:hAnsi="Courier New"/>
          <w:sz w:val="20"/>
        </w:rPr>
        <w:t>Thematic analysis was employed following Braun and Clarke's (2006)</w:t>
        <w:br/>
      </w:r>
      <w:r>
        <w:rPr>
          <w:rFonts w:ascii="Courier New" w:hAnsi="Courier New"/>
          <w:sz w:val="20"/>
        </w:rPr>
        <w:t>six-phase approach:</w:t>
        <w:br/>
      </w:r>
      <w:r>
        <w:rPr>
          <w:rFonts w:ascii="Courier New" w:hAnsi="Courier New"/>
          <w:sz w:val="20"/>
        </w:rPr>
        <w:t>1. Familiarization with data</w:t>
        <w:br/>
      </w:r>
      <w:r>
        <w:rPr>
          <w:rFonts w:ascii="Courier New" w:hAnsi="Courier New"/>
          <w:sz w:val="20"/>
        </w:rPr>
        <w:t>2. Generating initial codes</w:t>
        <w:br/>
      </w:r>
      <w:r>
        <w:rPr>
          <w:rFonts w:ascii="Courier New" w:hAnsi="Courier New"/>
          <w:sz w:val="20"/>
        </w:rPr>
        <w:t>3. Searching for themes</w:t>
        <w:br/>
      </w:r>
      <w:r>
        <w:rPr>
          <w:rFonts w:ascii="Courier New" w:hAnsi="Courier New"/>
          <w:sz w:val="20"/>
        </w:rPr>
        <w:t>4. Reviewing themes</w:t>
        <w:br/>
      </w:r>
      <w:r>
        <w:rPr>
          <w:rFonts w:ascii="Courier New" w:hAnsi="Courier New"/>
          <w:sz w:val="20"/>
        </w:rPr>
        <w:t>5. Defining and naming themes</w:t>
        <w:br/>
      </w:r>
      <w:r>
        <w:rPr>
          <w:rFonts w:ascii="Courier New" w:hAnsi="Courier New"/>
          <w:sz w:val="20"/>
        </w:rPr>
        <w:t>6. Producing the report</w:t>
        <w:br/>
      </w:r>
      <w:r>
        <w:rPr>
          <w:rFonts w:ascii="Courier New" w:hAnsi="Courier New"/>
          <w:sz w:val="20"/>
        </w:rPr>
        <w:br/>
      </w:r>
      <w:r>
        <w:rPr>
          <w:rFonts w:ascii="Courier New" w:hAnsi="Courier New"/>
          <w:sz w:val="20"/>
        </w:rPr>
        <w:t>3.7 Rigor</w:t>
        <w:br/>
      </w:r>
      <w:r>
        <w:rPr>
          <w:rFonts w:ascii="Courier New" w:hAnsi="Courier New"/>
          <w:sz w:val="20"/>
        </w:rPr>
        <w:t>- Member checking with selected participants</w:t>
        <w:br/>
      </w:r>
      <w:r>
        <w:rPr>
          <w:rFonts w:ascii="Courier New" w:hAnsi="Courier New"/>
          <w:sz w:val="20"/>
        </w:rPr>
        <w:t>- Peer debriefing among research team</w:t>
        <w:br/>
      </w:r>
      <w:r>
        <w:rPr>
          <w:rFonts w:ascii="Courier New" w:hAnsi="Courier New"/>
          <w:sz w:val="20"/>
        </w:rPr>
        <w:t>- Audit trail documentation</w:t>
        <w:br/>
      </w:r>
      <w:r>
        <w:rPr>
          <w:rFonts w:ascii="Courier New" w:hAnsi="Courier New"/>
          <w:sz w:val="20"/>
        </w:rPr>
        <w:br/>
      </w:r>
      <w:r>
        <w:rPr>
          <w:rFonts w:ascii="Courier New" w:hAnsi="Courier New"/>
          <w:sz w:val="20"/>
        </w:rPr>
        <w:t>3.8 Study Limitations</w:t>
        <w:br/>
      </w:r>
      <w:r>
        <w:rPr>
          <w:rFonts w:ascii="Courier New" w:hAnsi="Courier New"/>
          <w:sz w:val="20"/>
        </w:rPr>
        <w:t>- Qualitative design limits generalizability</w:t>
        <w:br/>
      </w:r>
      <w:r>
        <w:rPr>
          <w:rFonts w:ascii="Courier New" w:hAnsi="Courier New"/>
          <w:sz w:val="20"/>
        </w:rPr>
        <w:t>- Participants may not represent all stakeholder views</w:t>
        <w:br/>
      </w:r>
      <w:r>
        <w:rPr>
          <w:rFonts w:ascii="Courier New" w:hAnsi="Courier New"/>
          <w:sz w:val="20"/>
        </w:rPr>
        <w:t>- Self-selection bias possible</w:t>
        <w:br/>
      </w:r>
    </w:p>
    <w:p/>
    <w:p>
      <w:pPr>
        <w:pStyle w:val="Heading4"/>
      </w:pPr>
      <w:r>
        <w:t>(c) Dissemination Plan of Findings (Max 1 page)</w:t>
      </w:r>
    </w:p>
    <w:p>
      <w:r>
        <w:t>REQUIRED ELEMENTS (from Application Form):</w:t>
      </w:r>
    </w:p>
    <w:p>
      <w:pPr>
        <w:pStyle w:val="ListBullet"/>
      </w:pPr>
      <w:r>
        <w:t>Planned timing of dissemination</w:t>
      </w:r>
    </w:p>
    <w:p>
      <w:pPr>
        <w:pStyle w:val="ListBullet"/>
      </w:pPr>
      <w:r>
        <w:t>Targets</w:t>
      </w:r>
    </w:p>
    <w:p>
      <w:pPr>
        <w:pStyle w:val="ListBullet"/>
      </w:pPr>
      <w:r>
        <w:t>Output types</w:t>
      </w:r>
    </w:p>
    <w:p>
      <w:pPr>
        <w:pStyle w:val="ListBullet"/>
      </w:pPr>
      <w:r>
        <w:t>Means</w:t>
      </w:r>
    </w:p>
    <w:p>
      <w:pPr>
        <w:pStyle w:val="ListBullet"/>
      </w:pPr>
      <w:r>
        <w:t>Expected impacts</w:t>
      </w:r>
    </w:p>
    <w:p>
      <w:pPr>
        <w:pStyle w:val="ListBullet"/>
      </w:pPr>
      <w:r>
        <w:t>List of key stakeholders relevant to policymaking</w:t>
      </w:r>
    </w:p>
    <w:p/>
    <w:p>
      <w:r>
        <w:t>REAL EXAMPLE from 2015.A4.008.15C (Diabetes Care PPP):</w:t>
      </w:r>
    </w:p>
    <w:p>
      <w:pPr/>
      <w:r>
        <w:rPr>
          <w:rFonts w:ascii="Courier New" w:hAnsi="Courier New"/>
          <w:sz w:val="20"/>
        </w:rPr>
        <w:t>DISSEMINATION PLAN</w:t>
        <w:br/>
      </w:r>
      <w:r>
        <w:rPr>
          <w:rFonts w:ascii="Courier New" w:hAnsi="Courier New"/>
          <w:sz w:val="20"/>
        </w:rPr>
        <w:br/>
      </w:r>
      <w:r>
        <w:rPr>
          <w:rFonts w:ascii="Courier New" w:hAnsi="Courier New"/>
          <w:sz w:val="20"/>
        </w:rPr>
        <w:t>1. Academic Dissemination</w:t>
        <w:br/>
      </w:r>
      <w:r>
        <w:rPr>
          <w:rFonts w:ascii="Courier New" w:hAnsi="Courier New"/>
          <w:sz w:val="20"/>
        </w:rPr>
        <w:t>- Peer-reviewed publications in international journals</w:t>
        <w:br/>
      </w:r>
      <w:r>
        <w:rPr>
          <w:rFonts w:ascii="Courier New" w:hAnsi="Courier New"/>
          <w:sz w:val="20"/>
        </w:rPr>
        <w:t>- Conference presentations at diabetes and health policy conferences</w:t>
        <w:br/>
      </w:r>
      <w:r>
        <w:rPr>
          <w:rFonts w:ascii="Courier New" w:hAnsi="Courier New"/>
          <w:sz w:val="20"/>
        </w:rPr>
        <w:t>- Contribution to academic literature on PPP models</w:t>
        <w:br/>
      </w:r>
      <w:r>
        <w:rPr>
          <w:rFonts w:ascii="Courier New" w:hAnsi="Courier New"/>
          <w:sz w:val="20"/>
        </w:rPr>
        <w:br/>
      </w:r>
      <w:r>
        <w:rPr>
          <w:rFonts w:ascii="Courier New" w:hAnsi="Courier New"/>
          <w:sz w:val="20"/>
        </w:rPr>
        <w:t>2. Policy Dissemination</w:t>
        <w:br/>
      </w:r>
      <w:r>
        <w:rPr>
          <w:rFonts w:ascii="Courier New" w:hAnsi="Courier New"/>
          <w:sz w:val="20"/>
        </w:rPr>
        <w:t>- Policy brief for Food and Health Bureau</w:t>
        <w:br/>
      </w:r>
      <w:r>
        <w:rPr>
          <w:rFonts w:ascii="Courier New" w:hAnsi="Courier New"/>
          <w:sz w:val="20"/>
        </w:rPr>
        <w:t>- Presentation to Hospital Authority management</w:t>
        <w:br/>
      </w:r>
      <w:r>
        <w:rPr>
          <w:rFonts w:ascii="Courier New" w:hAnsi="Courier New"/>
          <w:sz w:val="20"/>
        </w:rPr>
        <w:t>- Briefing for Legislative Council health panel</w:t>
        <w:br/>
      </w:r>
      <w:r>
        <w:rPr>
          <w:rFonts w:ascii="Courier New" w:hAnsi="Courier New"/>
          <w:sz w:val="20"/>
        </w:rPr>
        <w:br/>
      </w:r>
      <w:r>
        <w:rPr>
          <w:rFonts w:ascii="Courier New" w:hAnsi="Courier New"/>
          <w:sz w:val="20"/>
        </w:rPr>
        <w:t>3. Public Dissemination</w:t>
        <w:br/>
      </w:r>
      <w:r>
        <w:rPr>
          <w:rFonts w:ascii="Courier New" w:hAnsi="Courier New"/>
          <w:sz w:val="20"/>
        </w:rPr>
        <w:t>- Press conference upon completion</w:t>
        <w:br/>
      </w:r>
      <w:r>
        <w:rPr>
          <w:rFonts w:ascii="Courier New" w:hAnsi="Courier New"/>
          <w:sz w:val="20"/>
        </w:rPr>
        <w:t>- Media interviews and articles</w:t>
        <w:br/>
      </w:r>
      <w:r>
        <w:rPr>
          <w:rFonts w:ascii="Courier New" w:hAnsi="Courier New"/>
          <w:sz w:val="20"/>
        </w:rPr>
        <w:t>- Public seminars</w:t>
        <w:br/>
      </w:r>
      <w:r>
        <w:rPr>
          <w:rFonts w:ascii="Courier New" w:hAnsi="Courier New"/>
          <w:sz w:val="20"/>
        </w:rPr>
        <w:br/>
      </w:r>
      <w:r>
        <w:rPr>
          <w:rFonts w:ascii="Courier New" w:hAnsi="Courier New"/>
          <w:sz w:val="20"/>
        </w:rPr>
        <w:t>4. Stakeholder Engagement</w:t>
        <w:br/>
      </w:r>
      <w:r>
        <w:rPr>
          <w:rFonts w:ascii="Courier New" w:hAnsi="Courier New"/>
          <w:sz w:val="20"/>
        </w:rPr>
        <w:t>Key stakeholders:</w:t>
        <w:br/>
      </w:r>
      <w:r>
        <w:rPr>
          <w:rFonts w:ascii="Courier New" w:hAnsi="Courier New"/>
          <w:sz w:val="20"/>
        </w:rPr>
        <w:t>- Food and Health Bureau</w:t>
        <w:br/>
      </w:r>
      <w:r>
        <w:rPr>
          <w:rFonts w:ascii="Courier New" w:hAnsi="Courier New"/>
          <w:sz w:val="20"/>
        </w:rPr>
        <w:t>- Hospital Authority</w:t>
        <w:br/>
      </w:r>
      <w:r>
        <w:rPr>
          <w:rFonts w:ascii="Courier New" w:hAnsi="Courier New"/>
          <w:sz w:val="20"/>
        </w:rPr>
        <w:t>- Private medical practitioners</w:t>
        <w:br/>
      </w:r>
      <w:r>
        <w:rPr>
          <w:rFonts w:ascii="Courier New" w:hAnsi="Courier New"/>
          <w:sz w:val="20"/>
        </w:rPr>
        <w:t>- Insurance companies</w:t>
        <w:br/>
      </w:r>
      <w:r>
        <w:rPr>
          <w:rFonts w:ascii="Courier New" w:hAnsi="Courier New"/>
          <w:sz w:val="20"/>
        </w:rPr>
        <w:t>- Patient groups</w:t>
        <w:br/>
      </w:r>
      <w:r>
        <w:rPr>
          <w:rFonts w:ascii="Courier New" w:hAnsi="Courier New"/>
          <w:sz w:val="20"/>
        </w:rPr>
        <w:t>- NGOs in healthcare sector</w:t>
        <w:br/>
      </w:r>
      <w:r>
        <w:rPr>
          <w:rFonts w:ascii="Courier New" w:hAnsi="Courier New"/>
          <w:sz w:val="20"/>
        </w:rPr>
        <w:br/>
      </w:r>
      <w:r>
        <w:rPr>
          <w:rFonts w:ascii="Courier New" w:hAnsi="Courier New"/>
          <w:sz w:val="20"/>
        </w:rPr>
        <w:t>Timeline:</w:t>
        <w:br/>
      </w:r>
      <w:r>
        <w:rPr>
          <w:rFonts w:ascii="Courier New" w:hAnsi="Courier New"/>
          <w:sz w:val="20"/>
        </w:rPr>
        <w:t>- Month 12-15: Draft findings shared with key stakeholders</w:t>
        <w:br/>
      </w:r>
      <w:r>
        <w:rPr>
          <w:rFonts w:ascii="Courier New" w:hAnsi="Courier New"/>
          <w:sz w:val="20"/>
        </w:rPr>
        <w:t>- Month 15-18: Final report and policy brief</w:t>
        <w:br/>
      </w:r>
      <w:r>
        <w:rPr>
          <w:rFonts w:ascii="Courier New" w:hAnsi="Courier New"/>
          <w:sz w:val="20"/>
        </w:rPr>
        <w:t>- Month 18+: Academic publications and public dissemination</w:t>
        <w:br/>
      </w:r>
      <w:r>
        <w:rPr>
          <w:rFonts w:ascii="Courier New" w:hAnsi="Courier New"/>
          <w:sz w:val="20"/>
        </w:rPr>
        <w:br/>
      </w:r>
      <w:r>
        <w:rPr>
          <w:rFonts w:ascii="Courier New" w:hAnsi="Courier New"/>
          <w:sz w:val="20"/>
        </w:rPr>
        <w:t>Expected Impacts:</w:t>
        <w:br/>
      </w:r>
      <w:r>
        <w:rPr>
          <w:rFonts w:ascii="Courier New" w:hAnsi="Courier New"/>
          <w:sz w:val="20"/>
        </w:rPr>
        <w:t>- Inform government policy on diabetes care</w:t>
        <w:br/>
      </w:r>
      <w:r>
        <w:rPr>
          <w:rFonts w:ascii="Courier New" w:hAnsi="Courier New"/>
          <w:sz w:val="20"/>
        </w:rPr>
        <w:t>- Provide evidence for PPP implementation</w:t>
        <w:br/>
      </w:r>
      <w:r>
        <w:rPr>
          <w:rFonts w:ascii="Courier New" w:hAnsi="Courier New"/>
          <w:sz w:val="20"/>
        </w:rPr>
        <w:t>- Raise public awareness of diabetes prevention</w:t>
        <w:br/>
      </w:r>
    </w:p>
    <w:p/>
    <w:p>
      <w:pPr>
        <w:pStyle w:val="Heading4"/>
      </w:pPr>
      <w:r>
        <w:t>(d) References (Max 3 pages)</w:t>
      </w:r>
    </w:p>
    <w:p>
      <w:r>
        <w:t>Format observed: APA style, full citations with all authors</w:t>
      </w:r>
    </w:p>
    <w:p/>
    <w:p>
      <w:pPr>
        <w:pStyle w:val="Heading4"/>
      </w:pPr>
      <w:r>
        <w:t>(e) Working Schedule and Collaboration Plan (Max 1 page)</w:t>
      </w:r>
    </w:p>
    <w:p>
      <w:r>
        <w:t>REAL EXAMPLE from 2013.A3.002.13A (9-month project):</w:t>
      </w:r>
    </w:p>
    <w:p>
      <w:pPr/>
      <w:r>
        <w:rPr>
          <w:rFonts w:ascii="Courier New" w:hAnsi="Courier New"/>
          <w:sz w:val="20"/>
        </w:rPr>
        <w:t>WORKING SCHEDULE</w:t>
        <w:br/>
      </w:r>
      <w:r>
        <w:rPr>
          <w:rFonts w:ascii="Courier New" w:hAnsi="Courier New"/>
          <w:sz w:val="20"/>
        </w:rPr>
        <w:br/>
      </w:r>
      <w:r>
        <w:rPr>
          <w:rFonts w:ascii="Courier New" w:hAnsi="Courier New"/>
          <w:sz w:val="20"/>
        </w:rPr>
        <w:t>Phase 1: Preparation (Months 1-2)</w:t>
        <w:br/>
      </w:r>
      <w:r>
        <w:rPr>
          <w:rFonts w:ascii="Courier New" w:hAnsi="Courier New"/>
          <w:sz w:val="20"/>
        </w:rPr>
        <w:t>- Literature review and desktop research</w:t>
        <w:br/>
      </w:r>
      <w:r>
        <w:rPr>
          <w:rFonts w:ascii="Courier New" w:hAnsi="Courier New"/>
          <w:sz w:val="20"/>
        </w:rPr>
        <w:t>- Development of interview guides</w:t>
        <w:br/>
      </w:r>
      <w:r>
        <w:rPr>
          <w:rFonts w:ascii="Courier New" w:hAnsi="Courier New"/>
          <w:sz w:val="20"/>
        </w:rPr>
        <w:t>- Ethics approval</w:t>
        <w:br/>
      </w:r>
      <w:r>
        <w:rPr>
          <w:rFonts w:ascii="Courier New" w:hAnsi="Courier New"/>
          <w:sz w:val="20"/>
        </w:rPr>
        <w:t>- Recruitment of participants</w:t>
        <w:br/>
      </w:r>
      <w:r>
        <w:rPr>
          <w:rFonts w:ascii="Courier New" w:hAnsi="Courier New"/>
          <w:sz w:val="20"/>
        </w:rPr>
        <w:br/>
      </w:r>
      <w:r>
        <w:rPr>
          <w:rFonts w:ascii="Courier New" w:hAnsi="Courier New"/>
          <w:sz w:val="20"/>
        </w:rPr>
        <w:t>Phase 2: Data Collection (Months 3-5)</w:t>
        <w:br/>
      </w:r>
      <w:r>
        <w:rPr>
          <w:rFonts w:ascii="Courier New" w:hAnsi="Courier New"/>
          <w:sz w:val="20"/>
        </w:rPr>
        <w:t>- In-depth interviews with employers (6 interviews)</w:t>
        <w:br/>
      </w:r>
      <w:r>
        <w:rPr>
          <w:rFonts w:ascii="Courier New" w:hAnsi="Courier New"/>
          <w:sz w:val="20"/>
        </w:rPr>
        <w:t>- Focus group discussions with pre-retirees and retirees (10 groups)</w:t>
        <w:br/>
      </w:r>
      <w:r>
        <w:rPr>
          <w:rFonts w:ascii="Courier New" w:hAnsi="Courier New"/>
          <w:sz w:val="20"/>
        </w:rPr>
        <w:br/>
      </w:r>
      <w:r>
        <w:rPr>
          <w:rFonts w:ascii="Courier New" w:hAnsi="Courier New"/>
          <w:sz w:val="20"/>
        </w:rPr>
        <w:t>Phase 3: Analysis (Months 5-7)</w:t>
        <w:br/>
      </w:r>
      <w:r>
        <w:rPr>
          <w:rFonts w:ascii="Courier New" w:hAnsi="Courier New"/>
          <w:sz w:val="20"/>
        </w:rPr>
        <w:t>- Transcription and translation</w:t>
        <w:br/>
      </w:r>
      <w:r>
        <w:rPr>
          <w:rFonts w:ascii="Courier New" w:hAnsi="Courier New"/>
          <w:sz w:val="20"/>
        </w:rPr>
        <w:t>- Thematic analysis</w:t>
        <w:br/>
      </w:r>
      <w:r>
        <w:rPr>
          <w:rFonts w:ascii="Courier New" w:hAnsi="Courier New"/>
          <w:sz w:val="20"/>
        </w:rPr>
        <w:t>- Synthesis of findings</w:t>
        <w:br/>
      </w:r>
      <w:r>
        <w:rPr>
          <w:rFonts w:ascii="Courier New" w:hAnsi="Courier New"/>
          <w:sz w:val="20"/>
        </w:rPr>
        <w:br/>
      </w:r>
      <w:r>
        <w:rPr>
          <w:rFonts w:ascii="Courier New" w:hAnsi="Courier New"/>
          <w:sz w:val="20"/>
        </w:rPr>
        <w:t>Phase 4: Reporting (Months 7-9)</w:t>
        <w:br/>
      </w:r>
      <w:r>
        <w:rPr>
          <w:rFonts w:ascii="Courier New" w:hAnsi="Courier New"/>
          <w:sz w:val="20"/>
        </w:rPr>
        <w:t>- Draft report preparation</w:t>
        <w:br/>
      </w:r>
      <w:r>
        <w:rPr>
          <w:rFonts w:ascii="Courier New" w:hAnsi="Courier New"/>
          <w:sz w:val="20"/>
        </w:rPr>
        <w:t>- Stakeholder consultation</w:t>
        <w:br/>
      </w:r>
      <w:r>
        <w:rPr>
          <w:rFonts w:ascii="Courier New" w:hAnsi="Courier New"/>
          <w:sz w:val="20"/>
        </w:rPr>
        <w:t>- Final report submission</w:t>
        <w:br/>
      </w:r>
      <w:r>
        <w:rPr>
          <w:rFonts w:ascii="Courier New" w:hAnsi="Courier New"/>
          <w:sz w:val="20"/>
        </w:rPr>
        <w:br/>
      </w:r>
      <w:r>
        <w:rPr>
          <w:rFonts w:ascii="Courier New" w:hAnsi="Courier New"/>
          <w:sz w:val="20"/>
        </w:rPr>
        <w:t>COLLABORATION PLAN</w:t>
        <w:br/>
      </w:r>
      <w:r>
        <w:rPr>
          <w:rFonts w:ascii="Courier New" w:hAnsi="Courier New"/>
          <w:sz w:val="20"/>
        </w:rPr>
        <w:br/>
      </w:r>
      <w:r>
        <w:rPr>
          <w:rFonts w:ascii="Courier New" w:hAnsi="Courier New"/>
          <w:sz w:val="20"/>
        </w:rPr>
        <w:t>Principal Investigator: Prof. CHAN Cheung Ming Alfred</w:t>
        <w:br/>
      </w:r>
      <w:r>
        <w:rPr>
          <w:rFonts w:ascii="Courier New" w:hAnsi="Courier New"/>
          <w:sz w:val="20"/>
        </w:rPr>
        <w:t>- Overall project leadership</w:t>
        <w:br/>
      </w:r>
      <w:r>
        <w:rPr>
          <w:rFonts w:ascii="Courier New" w:hAnsi="Courier New"/>
          <w:sz w:val="20"/>
        </w:rPr>
        <w:t>- Research design</w:t>
        <w:br/>
      </w:r>
      <w:r>
        <w:rPr>
          <w:rFonts w:ascii="Courier New" w:hAnsi="Courier New"/>
          <w:sz w:val="20"/>
        </w:rPr>
        <w:t>- Policy analysis</w:t>
        <w:br/>
      </w:r>
      <w:r>
        <w:rPr>
          <w:rFonts w:ascii="Courier New" w:hAnsi="Courier New"/>
          <w:sz w:val="20"/>
        </w:rPr>
        <w:br/>
      </w:r>
      <w:r>
        <w:rPr>
          <w:rFonts w:ascii="Courier New" w:hAnsi="Courier New"/>
          <w:sz w:val="20"/>
        </w:rPr>
        <w:t>Research Team:</w:t>
        <w:br/>
      </w:r>
      <w:r>
        <w:rPr>
          <w:rFonts w:ascii="Courier New" w:hAnsi="Courier New"/>
          <w:sz w:val="20"/>
        </w:rPr>
        <w:t>- Dr. NG Wai Yi Annie (Senior Project Officer): Data collection coordination</w:t>
        <w:br/>
      </w:r>
      <w:r>
        <w:rPr>
          <w:rFonts w:ascii="Courier New" w:hAnsi="Courier New"/>
          <w:sz w:val="20"/>
        </w:rPr>
        <w:t>- Mr. FOK Chun Yin Edwin (Project Officer): Employer interviews</w:t>
        <w:br/>
      </w:r>
      <w:r>
        <w:rPr>
          <w:rFonts w:ascii="Courier New" w:hAnsi="Courier New"/>
          <w:sz w:val="20"/>
        </w:rPr>
        <w:t>- Mr. CHUN Wai Sun Derek (Project Officer): Focus group facilitation</w:t>
        <w:br/>
      </w:r>
      <w:r>
        <w:rPr>
          <w:rFonts w:ascii="Courier New" w:hAnsi="Courier New"/>
          <w:sz w:val="20"/>
        </w:rPr>
        <w:t>- Dr. CAO Ting (Project Officer): Data analysis</w:t>
        <w:br/>
      </w:r>
    </w:p>
    <w:p/>
    <w:p>
      <w:pPr>
        <w:pStyle w:val="Heading4"/>
      </w:pPr>
      <w:r>
        <w:t>(f) Third-Party Data Access</w:t>
      </w:r>
    </w:p>
    <w:p>
      <w:r>
        <w:t>If access to government data is critical, must provide evidence that approval has been/is being sought.</w:t>
      </w:r>
    </w:p>
    <w:p/>
    <w:p>
      <w:pPr>
        <w:pStyle w:val="Heading3"/>
      </w:pPr>
      <w:r>
        <w:t>2.2 Project Funding: Cost and Justification</w:t>
      </w:r>
    </w:p>
    <w:p>
      <w:pPr>
        <w:pStyle w:val="Heading4"/>
      </w:pPr>
      <w:r>
        <w:t>2.2.1 Estimated Cost and Resource Implications</w:t>
      </w:r>
    </w:p>
    <w:p>
      <w:r>
        <w:t>REQUIRED CATEGORIES:</w:t>
      </w:r>
    </w:p>
    <w:p>
      <w:r>
        <w:t>(a) Research support staff</w:t>
      </w:r>
    </w:p>
    <w:p>
      <w:pPr>
        <w:pStyle w:val="ListBullet"/>
      </w:pPr>
      <w:r>
        <w:t>Title &amp; number of staff</w:t>
      </w:r>
    </w:p>
    <w:p>
      <w:pPr>
        <w:pStyle w:val="ListBullet"/>
      </w:pPr>
      <w:r>
        <w:t>Salary level(s)</w:t>
      </w:r>
    </w:p>
    <w:p>
      <w:pPr>
        <w:pStyle w:val="ListBullet"/>
      </w:pPr>
      <w:r>
        <w:t>Duration of employment</w:t>
      </w:r>
    </w:p>
    <w:p>
      <w:pPr>
        <w:pStyle w:val="ListBullet"/>
      </w:pPr>
      <w:r>
        <w:t>Duties</w:t>
      </w:r>
    </w:p>
    <w:p>
      <w:r>
        <w:t>(b) Public dissemination</w:t>
      </w:r>
    </w:p>
    <w:p>
      <w:pPr>
        <w:pStyle w:val="ListBullet"/>
      </w:pPr>
      <w:r>
        <w:t>Details and cost breakdown</w:t>
      </w:r>
    </w:p>
    <w:p>
      <w:pPr>
        <w:pStyle w:val="ListBullet"/>
      </w:pPr>
      <w:r>
        <w:t>Justification and expected participants</w:t>
      </w:r>
    </w:p>
    <w:p>
      <w:r>
        <w:t>(c) Others</w:t>
      </w:r>
    </w:p>
    <w:p>
      <w:pPr>
        <w:pStyle w:val="ListBullet"/>
      </w:pPr>
      <w:r>
        <w:t>Details and cost breakdown</w:t>
      </w:r>
    </w:p>
    <w:p>
      <w:pPr>
        <w:pStyle w:val="ListBullet"/>
      </w:pPr>
      <w:r>
        <w:t>Justification for outsourcing</w:t>
      </w:r>
    </w:p>
    <w:p>
      <w:r>
        <w:t>(d) Subtotal</w:t>
      </w:r>
    </w:p>
    <w:p>
      <w:r>
        <w:t>(e) Overhead (% of subtotal)</w:t>
      </w:r>
    </w:p>
    <w:p>
      <w:r>
        <w:t>(f) Total amount requested</w:t>
      </w:r>
    </w:p>
    <w:p/>
    <w:p>
      <w:r>
        <w:t>REAL EXAMPLE from 2015.A4.008.15C (HK$552,000):</w:t>
      </w:r>
    </w:p>
    <w:p>
      <w:pPr/>
      <w:r>
        <w:rPr>
          <w:rFonts w:ascii="Courier New" w:hAnsi="Courier New"/>
          <w:sz w:val="20"/>
        </w:rPr>
        <w:t>(a) Research Support Staff: HK$280,000</w:t>
        <w:br/>
      </w:r>
      <w:r>
        <w:rPr>
          <w:rFonts w:ascii="Courier New" w:hAnsi="Courier New"/>
          <w:sz w:val="20"/>
        </w:rPr>
        <w:t>- Research Assistant (1 full-time): HK$20,000/month x 12 months = HK$240,000</w:t>
        <w:br/>
      </w:r>
      <w:r>
        <w:rPr>
          <w:rFonts w:ascii="Courier New" w:hAnsi="Courier New"/>
          <w:sz w:val="20"/>
        </w:rPr>
        <w:t>- Part-time assistants: HK$40,000</w:t>
        <w:br/>
      </w:r>
      <w:r>
        <w:rPr>
          <w:rFonts w:ascii="Courier New" w:hAnsi="Courier New"/>
          <w:sz w:val="20"/>
        </w:rPr>
        <w:br/>
      </w:r>
      <w:r>
        <w:rPr>
          <w:rFonts w:ascii="Courier New" w:hAnsi="Courier New"/>
          <w:sz w:val="20"/>
        </w:rPr>
        <w:t>(b) Public Dissemination: HK$50,000</w:t>
        <w:br/>
      </w:r>
      <w:r>
        <w:rPr>
          <w:rFonts w:ascii="Courier New" w:hAnsi="Courier New"/>
          <w:sz w:val="20"/>
        </w:rPr>
        <w:t>- Stakeholder seminars: HK$30,000</w:t>
        <w:br/>
      </w:r>
      <w:r>
        <w:rPr>
          <w:rFonts w:ascii="Courier New" w:hAnsi="Courier New"/>
          <w:sz w:val="20"/>
        </w:rPr>
        <w:t>- Publication and printing: HK$20,000</w:t>
        <w:br/>
      </w:r>
      <w:r>
        <w:rPr>
          <w:rFonts w:ascii="Courier New" w:hAnsi="Courier New"/>
          <w:sz w:val="20"/>
        </w:rPr>
        <w:br/>
      </w:r>
      <w:r>
        <w:rPr>
          <w:rFonts w:ascii="Courier New" w:hAnsi="Courier New"/>
          <w:sz w:val="20"/>
        </w:rPr>
        <w:t>(c) Others: HK$172,000</w:t>
        <w:br/>
      </w:r>
      <w:r>
        <w:rPr>
          <w:rFonts w:ascii="Courier New" w:hAnsi="Courier New"/>
          <w:sz w:val="20"/>
        </w:rPr>
        <w:t>- Software licenses (simulation model): HK$50,000</w:t>
        <w:br/>
      </w:r>
      <w:r>
        <w:rPr>
          <w:rFonts w:ascii="Courier New" w:hAnsi="Courier New"/>
          <w:sz w:val="20"/>
        </w:rPr>
        <w:t>- Data analysis support: HK$80,000</w:t>
        <w:br/>
      </w:r>
      <w:r>
        <w:rPr>
          <w:rFonts w:ascii="Courier New" w:hAnsi="Courier New"/>
          <w:sz w:val="20"/>
        </w:rPr>
        <w:t>- Audit fee: HK$12,000</w:t>
        <w:br/>
      </w:r>
      <w:r>
        <w:rPr>
          <w:rFonts w:ascii="Courier New" w:hAnsi="Courier New"/>
          <w:sz w:val="20"/>
        </w:rPr>
        <w:t>- Miscellaneous: HK$30,000</w:t>
        <w:br/>
      </w:r>
      <w:r>
        <w:rPr>
          <w:rFonts w:ascii="Courier New" w:hAnsi="Courier New"/>
          <w:sz w:val="20"/>
        </w:rPr>
        <w:br/>
      </w:r>
      <w:r>
        <w:rPr>
          <w:rFonts w:ascii="Courier New" w:hAnsi="Courier New"/>
          <w:sz w:val="20"/>
        </w:rPr>
        <w:t>(d) Subtotal: HK$502,000</w:t>
        <w:br/>
      </w:r>
      <w:r>
        <w:rPr>
          <w:rFonts w:ascii="Courier New" w:hAnsi="Courier New"/>
          <w:sz w:val="20"/>
        </w:rPr>
        <w:br/>
      </w:r>
      <w:r>
        <w:rPr>
          <w:rFonts w:ascii="Courier New" w:hAnsi="Courier New"/>
          <w:sz w:val="20"/>
        </w:rPr>
        <w:t>(e) Overhead (10%): HK$50,000</w:t>
        <w:br/>
      </w:r>
      <w:r>
        <w:rPr>
          <w:rFonts w:ascii="Courier New" w:hAnsi="Courier New"/>
          <w:sz w:val="20"/>
        </w:rPr>
        <w:br/>
      </w:r>
      <w:r>
        <w:rPr>
          <w:rFonts w:ascii="Courier New" w:hAnsi="Courier New"/>
          <w:sz w:val="20"/>
        </w:rPr>
        <w:t>(f) Total: HK$552,000</w:t>
        <w:br/>
      </w:r>
    </w:p>
    <w:p/>
    <w:p>
      <w:r>
        <w:t>REAL EXAMPLE from 2015.A1.023.15C (HK$817,420):</w:t>
      </w:r>
    </w:p>
    <w:p>
      <w:pPr/>
      <w:r>
        <w:rPr>
          <w:rFonts w:ascii="Courier New" w:hAnsi="Courier New"/>
          <w:sz w:val="20"/>
        </w:rPr>
        <w:t>(a) Research Support Staff: HK$450,000</w:t>
        <w:br/>
      </w:r>
      <w:r>
        <w:rPr>
          <w:rFonts w:ascii="Courier New" w:hAnsi="Courier New"/>
          <w:sz w:val="20"/>
        </w:rPr>
        <w:t>- Research Assistant (full-time, 18 months): HK$22,000 x 18 = HK$396,000</w:t>
        <w:br/>
      </w:r>
      <w:r>
        <w:rPr>
          <w:rFonts w:ascii="Courier New" w:hAnsi="Courier New"/>
          <w:sz w:val="20"/>
        </w:rPr>
        <w:t>- Part-time interviewers: HK$54,000</w:t>
        <w:br/>
      </w:r>
      <w:r>
        <w:rPr>
          <w:rFonts w:ascii="Courier New" w:hAnsi="Courier New"/>
          <w:sz w:val="20"/>
        </w:rPr>
        <w:br/>
      </w:r>
      <w:r>
        <w:rPr>
          <w:rFonts w:ascii="Courier New" w:hAnsi="Courier New"/>
          <w:sz w:val="20"/>
        </w:rPr>
        <w:t>(b) Public Dissemination: HK$40,000</w:t>
        <w:br/>
      </w:r>
      <w:r>
        <w:rPr>
          <w:rFonts w:ascii="Courier New" w:hAnsi="Courier New"/>
          <w:sz w:val="20"/>
        </w:rPr>
        <w:t>- Seminars and workshops: HK$25,000</w:t>
        <w:br/>
      </w:r>
      <w:r>
        <w:rPr>
          <w:rFonts w:ascii="Courier New" w:hAnsi="Courier New"/>
          <w:sz w:val="20"/>
        </w:rPr>
        <w:t>- Publications: HK$15,000</w:t>
        <w:br/>
      </w:r>
      <w:r>
        <w:rPr>
          <w:rFonts w:ascii="Courier New" w:hAnsi="Courier New"/>
          <w:sz w:val="20"/>
        </w:rPr>
        <w:br/>
      </w:r>
      <w:r>
        <w:rPr>
          <w:rFonts w:ascii="Courier New" w:hAnsi="Courier New"/>
          <w:sz w:val="20"/>
        </w:rPr>
        <w:t>(c) Others: HK$252,420</w:t>
        <w:br/>
      </w:r>
      <w:r>
        <w:rPr>
          <w:rFonts w:ascii="Courier New" w:hAnsi="Courier New"/>
          <w:sz w:val="20"/>
        </w:rPr>
        <w:t>- Survey administration (2,316 respondents): HK$180,000</w:t>
        <w:br/>
      </w:r>
      <w:r>
        <w:rPr>
          <w:rFonts w:ascii="Courier New" w:hAnsi="Courier New"/>
          <w:sz w:val="20"/>
        </w:rPr>
        <w:t>- Focus group incentives: HK$24,000</w:t>
        <w:br/>
      </w:r>
      <w:r>
        <w:rPr>
          <w:rFonts w:ascii="Courier New" w:hAnsi="Courier New"/>
          <w:sz w:val="20"/>
        </w:rPr>
        <w:t>- Transcription: HK$30,000</w:t>
        <w:br/>
      </w:r>
      <w:r>
        <w:rPr>
          <w:rFonts w:ascii="Courier New" w:hAnsi="Courier New"/>
          <w:sz w:val="20"/>
        </w:rPr>
        <w:t>- Audit fee: HK$18,420</w:t>
        <w:br/>
      </w:r>
      <w:r>
        <w:rPr>
          <w:rFonts w:ascii="Courier New" w:hAnsi="Courier New"/>
          <w:sz w:val="20"/>
        </w:rPr>
        <w:br/>
      </w:r>
      <w:r>
        <w:rPr>
          <w:rFonts w:ascii="Courier New" w:hAnsi="Courier New"/>
          <w:sz w:val="20"/>
        </w:rPr>
        <w:t>(d) Subtotal: HK$742,420</w:t>
        <w:br/>
      </w:r>
      <w:r>
        <w:rPr>
          <w:rFonts w:ascii="Courier New" w:hAnsi="Courier New"/>
          <w:sz w:val="20"/>
        </w:rPr>
        <w:br/>
      </w:r>
      <w:r>
        <w:rPr>
          <w:rFonts w:ascii="Courier New" w:hAnsi="Courier New"/>
          <w:sz w:val="20"/>
        </w:rPr>
        <w:t>(e) Overhead (10%): HK$75,000</w:t>
        <w:br/>
      </w:r>
      <w:r>
        <w:rPr>
          <w:rFonts w:ascii="Courier New" w:hAnsi="Courier New"/>
          <w:sz w:val="20"/>
        </w:rPr>
        <w:br/>
      </w:r>
      <w:r>
        <w:rPr>
          <w:rFonts w:ascii="Courier New" w:hAnsi="Courier New"/>
          <w:sz w:val="20"/>
        </w:rPr>
        <w:t>(f) Total: HK$817,420</w:t>
        <w:br/>
      </w:r>
    </w:p>
    <w:p/>
    <w:p>
      <w:pPr>
        <w:pStyle w:val="Heading3"/>
      </w:pPr>
      <w:r>
        <w:t>2.3 Particulars of PIs and Co-I(s)</w:t>
      </w:r>
    </w:p>
    <w:p>
      <w:pPr>
        <w:pStyle w:val="Heading4"/>
      </w:pPr>
      <w:r>
        <w:t>2.3.1 Investigator(s) Information</w:t>
      </w:r>
    </w:p>
    <w:p>
      <w:r>
        <w:t>Table format with: Title, Full Name, Post, Institution</w:t>
      </w:r>
    </w:p>
    <w:p>
      <w:pPr>
        <w:pStyle w:val="Heading4"/>
      </w:pPr>
      <w:r>
        <w:t>2.3.2 Curriculum Vitae (Max 400 words per person)</w:t>
      </w:r>
    </w:p>
    <w:p>
      <w:r>
        <w:t>Elements observed in successful CVs:</w:t>
      </w:r>
    </w:p>
    <w:p>
      <w:pPr>
        <w:pStyle w:val="ListBullet"/>
      </w:pPr>
      <w:r>
        <w:t>Current position and institution</w:t>
      </w:r>
    </w:p>
    <w:p>
      <w:pPr>
        <w:pStyle w:val="ListBullet"/>
      </w:pPr>
      <w:r>
        <w:t>Academic qualifications</w:t>
      </w:r>
    </w:p>
    <w:p>
      <w:pPr>
        <w:pStyle w:val="ListBullet"/>
      </w:pPr>
      <w:r>
        <w:t>Research interests</w:t>
      </w:r>
    </w:p>
    <w:p>
      <w:pPr>
        <w:pStyle w:val="ListBullet"/>
      </w:pPr>
      <w:r>
        <w:t>Relevant experience</w:t>
      </w:r>
    </w:p>
    <w:p>
      <w:pPr>
        <w:pStyle w:val="ListBullet"/>
      </w:pPr>
      <w:r>
        <w:t>Key publications (3-5 most relevant)</w:t>
      </w:r>
    </w:p>
    <w:p/>
    <w:p>
      <w:pPr>
        <w:pStyle w:val="Heading3"/>
      </w:pPr>
      <w:r>
        <w:t>2.4 Track Record of Investigator(s)</w:t>
      </w:r>
    </w:p>
    <w:p>
      <w:pPr>
        <w:pStyle w:val="Heading4"/>
      </w:pPr>
      <w:r>
        <w:t>2.4.1 Details of Research Projects (Past 5 years)</w:t>
      </w:r>
    </w:p>
    <w:p>
      <w:r>
        <w:t>Table format:</w:t>
      </w:r>
    </w:p>
    <w:p>
      <w:pPr>
        <w:pStyle w:val="ListBullet"/>
      </w:pPr>
      <w:r>
        <w:t>Project Title</w:t>
      </w:r>
    </w:p>
    <w:p>
      <w:pPr>
        <w:pStyle w:val="ListBullet"/>
      </w:pPr>
      <w:r>
        <w:t>PI/Co-I role</w:t>
      </w:r>
    </w:p>
    <w:p>
      <w:pPr>
        <w:pStyle w:val="ListBullet"/>
      </w:pPr>
      <w:r>
        <w:t>Funding Source(s) and Amount</w:t>
      </w:r>
    </w:p>
    <w:p>
      <w:pPr>
        <w:pStyle w:val="ListBullet"/>
      </w:pPr>
      <w:r>
        <w:t>Start Date</w:t>
      </w:r>
    </w:p>
    <w:p>
      <w:pPr>
        <w:pStyle w:val="ListBullet"/>
      </w:pPr>
      <w:r>
        <w:t>Estimated Completion Date</w:t>
      </w:r>
    </w:p>
    <w:p>
      <w:pPr>
        <w:pStyle w:val="Heading4"/>
      </w:pPr>
      <w:r>
        <w:t>2.4.2 Public Policy Research Track Record (Max 400 words per person)</w:t>
      </w:r>
    </w:p>
    <w:p>
      <w:r>
        <w:t>Elements observed:</w:t>
      </w:r>
    </w:p>
    <w:p>
      <w:pPr>
        <w:pStyle w:val="ListBullet"/>
      </w:pPr>
      <w:r>
        <w:t>Previous PPR/SPPRFS projects</w:t>
      </w:r>
    </w:p>
    <w:p>
      <w:pPr>
        <w:pStyle w:val="ListBullet"/>
      </w:pPr>
      <w:r>
        <w:t>Policy impact of previous research</w:t>
      </w:r>
    </w:p>
    <w:p>
      <w:pPr>
        <w:pStyle w:val="ListBullet"/>
      </w:pPr>
      <w:r>
        <w:t>Publications contributing to policy</w:t>
      </w:r>
    </w:p>
    <w:p>
      <w:pPr>
        <w:pStyle w:val="ListBullet"/>
      </w:pPr>
      <w:r>
        <w:t>Government consultations/advisory roles</w:t>
      </w:r>
    </w:p>
    <w:p/>
    <w:p>
      <w:pPr>
        <w:pStyle w:val="Heading3"/>
      </w:pPr>
      <w:r>
        <w:t>2.5 Data Archive</w:t>
      </w:r>
    </w:p>
    <w:p>
      <w:r>
        <w:t>Quantitative data will be uploaded to PPR webpage 5 years after completion.</w:t>
      </w:r>
    </w:p>
    <w:p>
      <w:r>
        <w:t>If no quantitative data generated, provide justification.</w:t>
      </w:r>
    </w:p>
    <w:p/>
    <w:p>
      <w:pPr>
        <w:pStyle w:val="Heading3"/>
      </w:pPr>
      <w:r>
        <w:t>2.6 Research Ethics/Safety Approval</w:t>
      </w:r>
    </w:p>
    <w:p>
      <w:r>
        <w:t>Checkboxes for:</w:t>
      </w:r>
    </w:p>
    <w:p>
      <w:pPr>
        <w:pStyle w:val="ListBullet"/>
      </w:pPr>
      <w:r>
        <w:t>Human research ethics</w:t>
      </w:r>
    </w:p>
    <w:p>
      <w:pPr>
        <w:pStyle w:val="ListBullet"/>
      </w:pPr>
      <w:r>
        <w:t>Animal research ethics</w:t>
      </w:r>
    </w:p>
    <w:p>
      <w:pPr>
        <w:pStyle w:val="ListBullet"/>
      </w:pPr>
      <w:r>
        <w:t>Artefact research ethics</w:t>
      </w:r>
    </w:p>
    <w:p>
      <w:pPr>
        <w:pStyle w:val="ListBullet"/>
      </w:pPr>
      <w:r>
        <w:t>Biological/Chemical safety</w:t>
      </w:r>
    </w:p>
    <w:p>
      <w:pPr>
        <w:pStyle w:val="ListBullet"/>
      </w:pPr>
      <w:r>
        <w:t>Ionizing/Non-ionizing radiation safety</w:t>
      </w:r>
    </w:p>
    <w:p/>
    <w:p>
      <w:pPr>
        <w:pStyle w:val="Heading3"/>
      </w:pPr>
      <w:r>
        <w:t>2.7 Declaration</w:t>
      </w:r>
    </w:p>
    <w:p>
      <w:r>
        <w:t>PI signature confirming accuracy and agreement to Guidance Notes.</w:t>
      </w:r>
    </w:p>
    <w:p/>
    <w:p>
      <w:pPr>
        <w:pStyle w:val="Heading1"/>
      </w:pPr>
      <w:r>
        <w:t>PART III: Endorsement by Institution</w:t>
      </w:r>
    </w:p>
    <w:p>
      <w:r>
        <w:t>Completed by institutional authority confirming:</w:t>
      </w:r>
    </w:p>
    <w:p>
      <w:pPr>
        <w:pStyle w:val="ListBullet"/>
      </w:pPr>
      <w:r>
        <w:t>Staff eligibility</w:t>
      </w:r>
    </w:p>
    <w:p>
      <w:pPr>
        <w:pStyle w:val="ListBullet"/>
      </w:pPr>
      <w:r>
        <w:t>Application evaluation and endorsement</w:t>
      </w:r>
    </w:p>
    <w:p>
      <w:pPr>
        <w:pStyle w:val="ListBullet"/>
      </w:pPr>
      <w:r>
        <w:t>Anti-plagiarism scanning</w:t>
      </w:r>
    </w:p>
    <w:p>
      <w:pPr>
        <w:pStyle w:val="ListBullet"/>
      </w:pPr>
      <w:r>
        <w:t>Compliance with guidelines</w:t>
      </w:r>
    </w:p>
    <w:p/>
    <w:p>
      <w:pPr>
        <w:pStyle w:val="Heading1"/>
      </w:pPr>
      <w:r>
        <w:t>KEY SUCCESS FACTORS IDENTIFIED FROM 248 REPORTS</w:t>
      </w:r>
    </w:p>
    <w:p>
      <w:pPr>
        <w:pStyle w:val="Heading2"/>
      </w:pPr>
      <w:r>
        <w:t>1. Strong Policy Relevance</w:t>
      </w:r>
    </w:p>
    <w:p>
      <w:pPr>
        <w:pStyle w:val="ListBullet"/>
      </w:pPr>
      <w:r>
        <w:t>Direct connection to government initiatives</w:t>
      </w:r>
    </w:p>
    <w:p>
      <w:pPr>
        <w:pStyle w:val="ListBullet"/>
      </w:pPr>
      <w:r>
        <w:t>Clear identification of policy gaps</w:t>
      </w:r>
    </w:p>
    <w:p>
      <w:pPr>
        <w:pStyle w:val="ListBullet"/>
      </w:pPr>
      <w:r>
        <w:t>Actionable recommendations</w:t>
      </w:r>
    </w:p>
    <w:p>
      <w:pPr>
        <w:pStyle w:val="Heading2"/>
      </w:pPr>
      <w:r>
        <w:t>2. Rigorous Methodology</w:t>
      </w:r>
    </w:p>
    <w:p>
      <w:pPr>
        <w:pStyle w:val="ListBullet"/>
      </w:pPr>
      <w:r>
        <w:t>Appropriate sample sizes (1,500-2,500 for surveys)</w:t>
      </w:r>
    </w:p>
    <w:p>
      <w:pPr>
        <w:pStyle w:val="ListBullet"/>
      </w:pPr>
      <w:r>
        <w:t>Mixed-methods designs valued</w:t>
      </w:r>
    </w:p>
    <w:p>
      <w:pPr>
        <w:pStyle w:val="ListBullet"/>
      </w:pPr>
      <w:r>
        <w:t>Clear analytical frameworks</w:t>
      </w:r>
    </w:p>
    <w:p>
      <w:pPr>
        <w:pStyle w:val="Heading2"/>
      </w:pPr>
      <w:r>
        <w:t>3. Realistic Budget and Timeline</w:t>
      </w:r>
    </w:p>
    <w:p>
      <w:pPr>
        <w:pStyle w:val="ListBullet"/>
      </w:pPr>
      <w:r>
        <w:t>Budget within HK$1 million cap preferred</w:t>
      </w:r>
    </w:p>
    <w:p>
      <w:pPr>
        <w:pStyle w:val="ListBullet"/>
      </w:pPr>
      <w:r>
        <w:t>12-18 months typical duration</w:t>
      </w:r>
    </w:p>
    <w:p>
      <w:pPr>
        <w:pStyle w:val="ListBullet"/>
      </w:pPr>
      <w:r>
        <w:t>Detailed justification for all costs</w:t>
      </w:r>
    </w:p>
    <w:p>
      <w:pPr>
        <w:pStyle w:val="Heading2"/>
      </w:pPr>
      <w:r>
        <w:t>4. Experienced Research Team</w:t>
      </w:r>
    </w:p>
    <w:p>
      <w:pPr>
        <w:pStyle w:val="ListBullet"/>
      </w:pPr>
      <w:r>
        <w:t>PI with relevant track record</w:t>
      </w:r>
    </w:p>
    <w:p>
      <w:pPr>
        <w:pStyle w:val="ListBullet"/>
      </w:pPr>
      <w:r>
        <w:t>Co-Is with complementary expertise</w:t>
      </w:r>
    </w:p>
    <w:p>
      <w:pPr>
        <w:pStyle w:val="ListBullet"/>
      </w:pPr>
      <w:r>
        <w:t>Clear role delineation</w:t>
      </w:r>
    </w:p>
    <w:p>
      <w:pPr>
        <w:pStyle w:val="Heading2"/>
      </w:pPr>
      <w:r>
        <w:t>5. Comprehensive Dissemination Plan</w:t>
      </w:r>
    </w:p>
    <w:p>
      <w:pPr>
        <w:pStyle w:val="ListBullet"/>
      </w:pPr>
      <w:r>
        <w:t>Multiple stakeholder targets</w:t>
      </w:r>
    </w:p>
    <w:p>
      <w:pPr>
        <w:pStyle w:val="ListBullet"/>
      </w:pPr>
      <w:r>
        <w:t>Academic and policy outputs</w:t>
      </w:r>
    </w:p>
    <w:p>
      <w:pPr>
        <w:pStyle w:val="ListBullet"/>
      </w:pPr>
      <w:r>
        <w:t>Clear timeline and expected impacts</w:t>
      </w:r>
    </w:p>
    <w:p/>
    <w:p>
      <w:r>
        <w:t>Document compiled from analysis of 248 successful PPR research reports (2013-2023) and official PPR Application Form (PPR_2024.11)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