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555555"/>
          <w:sz w:val="22"/>
          <w:szCs w:val="22"/>
        </w:rPr>
        <w:t xml:space="preserve">CORPORACIÓN UNIVERSITARIA MINUTO DE DIOS - UNIMINUTO</w:t>
      </w:r>
    </w:p>
    <w:p>
      <w:pPr>
        <w:spacing w:after="400"/>
        <w:jc w:val="center"/>
      </w:pPr>
      <w:r>
        <w:rPr>
          <w:color w:val="555555"/>
          <w:sz w:val="20"/>
          <w:szCs w:val="20"/>
        </w:rPr>
        <w:t xml:space="preserve">Ingeniería de Sistemas  |  Minería de Datos</w:t>
      </w:r>
    </w:p>
    <w:p>
      <w:pPr>
        <w:spacing w:after="100"/>
        <w:jc w:val="center"/>
      </w:pPr>
      <w:r>
        <w:rPr>
          <w:b/>
          <w:bCs/>
          <w:color w:val="B81D24"/>
          <w:sz w:val="40"/>
          <w:szCs w:val="40"/>
        </w:rPr>
        <w:t xml:space="preserve">Hallazgos Principales</w:t>
      </w:r>
    </w:p>
    <w:p>
      <w:pPr>
        <w:spacing w:after="500"/>
        <w:jc w:val="center"/>
      </w:pPr>
      <w:r>
        <w:rPr>
          <w:i/>
          <w:iCs/>
          <w:color w:val="221F1F"/>
          <w:sz w:val="22"/>
          <w:szCs w:val="22"/>
        </w:rPr>
        <w:t xml:space="preserve">Resumen visual del catálogo de Netflix: tipo, género, país, clasificación, crecimiento y valoraciones</w:t>
      </w:r>
    </w:p>
    <w:p>
      <w:pPr>
        <w:spacing w:after="20"/>
        <w:jc w:val="center"/>
      </w:pPr>
      <w:r>
        <w:rPr>
          <w:color w:val="221F1F"/>
          <w:sz w:val="21"/>
          <w:szCs w:val="21"/>
        </w:rPr>
        <w:t xml:space="preserve">James Francois Lozano Gordillo</w:t>
      </w:r>
    </w:p>
    <w:p>
      <w:pPr>
        <w:spacing w:after="400"/>
        <w:jc w:val="center"/>
      </w:pPr>
      <w:r>
        <w:rPr>
          <w:color w:val="221F1F"/>
          <w:sz w:val="21"/>
          <w:szCs w:val="21"/>
        </w:rPr>
        <w:t xml:space="preserve">Elian Alexis Sandoval Durán</w:t>
      </w:r>
    </w:p>
    <w:p>
      <w:pPr>
        <w:jc w:val="center"/>
      </w:pPr>
      <w:r>
        <w:rPr>
          <w:color w:val="555555"/>
          <w:sz w:val="20"/>
          <w:szCs w:val="20"/>
        </w:rPr>
        <w:t xml:space="preserve">Ibagué, Tolima - 2026</w:t>
      </w:r>
    </w:p>
    <w:p>
      <w:pPr>
        <w:pageBreakBefore/>
      </w:pPr>
      <w:r>
        <w:t xml:space="preserve"/>
      </w:r>
    </w:p>
    <w:p>
      <w:pPr>
        <w:pStyle w:val="Heading1"/>
        <w:pBdr>
          <w:bottom w:val="single" w:color="B81D24" w:sz="12" w:space="4"/>
        </w:pBdr>
        <w:spacing w:after="200" w:before="400"/>
      </w:pPr>
      <w:r>
        <w:rPr>
          <w:b/>
          <w:bCs/>
          <w:color w:val="221F1F"/>
          <w:sz w:val="30"/>
          <w:szCs w:val="30"/>
        </w:rPr>
        <w:t xml:space="preserve">Introducción</w:t>
      </w:r>
    </w:p>
    <w:p>
      <w:pPr>
        <w:spacing w:after="150"/>
      </w:pPr>
      <w:r>
        <w:rPr>
          <w:color w:val="221F1F"/>
          <w:sz w:val="21"/>
          <w:szCs w:val="21"/>
        </w:rPr>
        <w:t xml:space="preserve">Este documento resume, con gráficas y tablas, los hallazgos principales obtenidos tras la limpieza y el análisis del catálogo de Netflix (netflix_titles.csv, 8.807 registros) y de las valoraciones de usuarios (netflix.csv). Está pensado para complementar la presentación del proyecto.</w:t>
      </w:r>
    </w:p>
    <w:p>
      <w:pPr>
        <w:pStyle w:val="Heading1"/>
        <w:pBdr>
          <w:bottom w:val="single" w:color="B81D24" w:sz="12" w:space="4"/>
        </w:pBdr>
        <w:spacing w:after="200" w:before="400"/>
      </w:pPr>
      <w:r>
        <w:rPr>
          <w:b/>
          <w:bCs/>
          <w:color w:val="221F1F"/>
          <w:sz w:val="30"/>
          <w:szCs w:val="30"/>
        </w:rPr>
        <w:t xml:space="preserve">1. Tipo de contenido: predominan las películas</w:t>
      </w:r>
    </w:p>
    <w:p>
      <w:pPr>
        <w:spacing w:after="100"/>
        <w:jc w:val="center"/>
      </w:pPr>
      <w:r>
        <w:drawing>
          <wp:inline distT="0" distB="0" distL="0" distR="0">
            <wp:extent cx="48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00000" cy="32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4000"/>
        <w:gridCol w:w="3000"/>
        <w:gridCol w:w="3000"/>
      </w:tblGrid>
      <w:tr>
        <w:trPr>
          <w:tblHeader/>
        </w:trPr>
        <w:tc>
          <w:tcPr>
            <w:tcW w:type="dxa" w:w="4000"/>
            <w:shd w:fill="B81D24" w:val="clear"/>
            <w:tcMar>
              <w:top w:type="dxa" w:w="100"/>
              <w:left w:type="dxa" w:w="150"/>
              <w:bottom w:type="dxa" w:w="100"/>
              <w:right w:type="dxa" w:w="150"/>
            </w:tcMar>
            <w:vAlign w:val="center"/>
          </w:tcPr>
          <w:p>
            <w:r>
              <w:rPr>
                <w:b/>
                <w:bCs/>
                <w:color w:val="FFFFFF"/>
                <w:sz w:val="20"/>
                <w:szCs w:val="20"/>
              </w:rPr>
              <w:t xml:space="preserve">Tipo</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Cantidad</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Porcentaje</w:t>
            </w:r>
          </w:p>
        </w:tc>
      </w:tr>
      <w:tr>
        <w:tc>
          <w:tcPr>
            <w:tcW w:type="dxa" w:w="4000"/>
            <w:tcMar>
              <w:top w:type="dxa" w:w="100"/>
              <w:left w:type="dxa" w:w="150"/>
              <w:bottom w:type="dxa" w:w="100"/>
              <w:right w:type="dxa" w:w="150"/>
            </w:tcMar>
            <w:vAlign w:val="center"/>
          </w:tcPr>
          <w:p>
            <w:r>
              <w:rPr>
                <w:b w:val="false"/>
                <w:bCs w:val="false"/>
                <w:color w:val="221F1F"/>
                <w:sz w:val="20"/>
                <w:szCs w:val="20"/>
              </w:rPr>
              <w:t xml:space="preserve">Películas</w:t>
            </w:r>
          </w:p>
        </w:tc>
        <w:tc>
          <w:tcPr>
            <w:tcW w:type="dxa" w:w="3000"/>
            <w:tcMar>
              <w:top w:type="dxa" w:w="100"/>
              <w:left w:type="dxa" w:w="150"/>
              <w:bottom w:type="dxa" w:w="100"/>
              <w:right w:type="dxa" w:w="150"/>
            </w:tcMar>
            <w:vAlign w:val="center"/>
          </w:tcPr>
          <w:p>
            <w:r>
              <w:rPr>
                <w:b w:val="false"/>
                <w:bCs w:val="false"/>
                <w:color w:val="221F1F"/>
                <w:sz w:val="20"/>
                <w:szCs w:val="20"/>
              </w:rPr>
              <w:t xml:space="preserve">6.131</w:t>
            </w:r>
          </w:p>
        </w:tc>
        <w:tc>
          <w:tcPr>
            <w:tcW w:type="dxa" w:w="3000"/>
            <w:tcMar>
              <w:top w:type="dxa" w:w="100"/>
              <w:left w:type="dxa" w:w="150"/>
              <w:bottom w:type="dxa" w:w="100"/>
              <w:right w:type="dxa" w:w="150"/>
            </w:tcMar>
            <w:vAlign w:val="center"/>
          </w:tcPr>
          <w:p>
            <w:r>
              <w:rPr>
                <w:b w:val="false"/>
                <w:bCs w:val="false"/>
                <w:color w:val="221F1F"/>
                <w:sz w:val="20"/>
                <w:szCs w:val="20"/>
              </w:rPr>
              <w:t xml:space="preserve">69,6%</w:t>
            </w:r>
          </w:p>
        </w:tc>
      </w:tr>
      <w:tr>
        <w:tc>
          <w:tcPr>
            <w:tcW w:type="dxa" w:w="4000"/>
            <w:shd w:fill="F7F7F7" w:val="clear"/>
            <w:tcMar>
              <w:top w:type="dxa" w:w="100"/>
              <w:left w:type="dxa" w:w="150"/>
              <w:bottom w:type="dxa" w:w="100"/>
              <w:right w:type="dxa" w:w="150"/>
            </w:tcMar>
            <w:vAlign w:val="center"/>
          </w:tcPr>
          <w:p>
            <w:r>
              <w:rPr>
                <w:b w:val="false"/>
                <w:bCs w:val="false"/>
                <w:color w:val="221F1F"/>
                <w:sz w:val="20"/>
                <w:szCs w:val="20"/>
              </w:rPr>
              <w:t xml:space="preserve">Series</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2.676</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30,4%</w:t>
            </w:r>
          </w:p>
        </w:tc>
      </w:tr>
    </w:tbl>
    <w:p>
      <w:pPr>
        <w:spacing w:after="250"/>
      </w:pPr>
      <w:r>
        <w:rPr>
          <w:i/>
          <w:iCs/>
          <w:color w:val="555555"/>
          <w:sz w:val="18"/>
          <w:szCs w:val="18"/>
        </w:rPr>
        <w:t xml:space="preserve">El catálogo tiene más del doble de películas que de series.</w:t>
      </w:r>
    </w:p>
    <w:p>
      <w:pPr>
        <w:pStyle w:val="Heading1"/>
        <w:pBdr>
          <w:bottom w:val="single" w:color="B81D24" w:sz="12" w:space="4"/>
        </w:pBdr>
        <w:spacing w:after="200" w:before="400"/>
      </w:pPr>
      <w:r>
        <w:rPr>
          <w:b/>
          <w:bCs/>
          <w:color w:val="221F1F"/>
          <w:sz w:val="30"/>
          <w:szCs w:val="30"/>
        </w:rPr>
        <w:t xml:space="preserve">2. Producción por país</w:t>
      </w:r>
    </w:p>
    <w:p>
      <w:pPr>
        <w:spacing w:after="100"/>
        <w:jc w:val="center"/>
      </w:pPr>
      <w:r>
        <w:drawing>
          <wp:inline distT="0" distB="0" distL="0" distR="0">
            <wp:extent cx="5500000" cy="33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00000" cy="33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6000"/>
        <w:gridCol w:w="4000"/>
      </w:tblGrid>
      <w:tr>
        <w:trPr>
          <w:tblHeader/>
        </w:trPr>
        <w:tc>
          <w:tcPr>
            <w:tcW w:type="dxa" w:w="6000"/>
            <w:shd w:fill="B81D24" w:val="clear"/>
            <w:tcMar>
              <w:top w:type="dxa" w:w="100"/>
              <w:left w:type="dxa" w:w="150"/>
              <w:bottom w:type="dxa" w:w="100"/>
              <w:right w:type="dxa" w:w="150"/>
            </w:tcMar>
            <w:vAlign w:val="center"/>
          </w:tcPr>
          <w:p>
            <w:r>
              <w:rPr>
                <w:b/>
                <w:bCs/>
                <w:color w:val="FFFFFF"/>
                <w:sz w:val="20"/>
                <w:szCs w:val="20"/>
              </w:rPr>
              <w:t xml:space="preserve">País</w:t>
            </w:r>
          </w:p>
        </w:tc>
        <w:tc>
          <w:tcPr>
            <w:tcW w:type="dxa" w:w="4000"/>
            <w:shd w:fill="B81D24" w:val="clear"/>
            <w:tcMar>
              <w:top w:type="dxa" w:w="100"/>
              <w:left w:type="dxa" w:w="150"/>
              <w:bottom w:type="dxa" w:w="100"/>
              <w:right w:type="dxa" w:w="150"/>
            </w:tcMar>
            <w:vAlign w:val="center"/>
          </w:tcPr>
          <w:p>
            <w:r>
              <w:rPr>
                <w:b/>
                <w:bCs/>
                <w:color w:val="FFFFFF"/>
                <w:sz w:val="20"/>
                <w:szCs w:val="20"/>
              </w:rPr>
              <w:t xml:space="preserve">Menciones</w:t>
            </w:r>
          </w:p>
        </w:tc>
      </w:tr>
      <w:tr>
        <w:tc>
          <w:tcPr>
            <w:tcW w:type="dxa" w:w="6000"/>
            <w:tcMar>
              <w:top w:type="dxa" w:w="100"/>
              <w:left w:type="dxa" w:w="150"/>
              <w:bottom w:type="dxa" w:w="100"/>
              <w:right w:type="dxa" w:w="150"/>
            </w:tcMar>
            <w:vAlign w:val="center"/>
          </w:tcPr>
          <w:p>
            <w:r>
              <w:rPr>
                <w:b w:val="false"/>
                <w:bCs w:val="false"/>
                <w:color w:val="221F1F"/>
                <w:sz w:val="20"/>
                <w:szCs w:val="20"/>
              </w:rPr>
              <w:t xml:space="preserve">Estados Unidos</w:t>
            </w:r>
          </w:p>
        </w:tc>
        <w:tc>
          <w:tcPr>
            <w:tcW w:type="dxa" w:w="4000"/>
            <w:tcMar>
              <w:top w:type="dxa" w:w="100"/>
              <w:left w:type="dxa" w:w="150"/>
              <w:bottom w:type="dxa" w:w="100"/>
              <w:right w:type="dxa" w:w="150"/>
            </w:tcMar>
            <w:vAlign w:val="center"/>
          </w:tcPr>
          <w:p>
            <w:r>
              <w:rPr>
                <w:b w:val="false"/>
                <w:bCs w:val="false"/>
                <w:color w:val="221F1F"/>
                <w:sz w:val="20"/>
                <w:szCs w:val="20"/>
              </w:rPr>
              <w:t xml:space="preserve">3.689</w:t>
            </w:r>
          </w:p>
        </w:tc>
      </w:tr>
      <w:tr>
        <w:tc>
          <w:tcPr>
            <w:tcW w:type="dxa" w:w="6000"/>
            <w:shd w:fill="F7F7F7" w:val="clear"/>
            <w:tcMar>
              <w:top w:type="dxa" w:w="100"/>
              <w:left w:type="dxa" w:w="150"/>
              <w:bottom w:type="dxa" w:w="100"/>
              <w:right w:type="dxa" w:w="150"/>
            </w:tcMar>
            <w:vAlign w:val="center"/>
          </w:tcPr>
          <w:p>
            <w:r>
              <w:rPr>
                <w:b w:val="false"/>
                <w:bCs w:val="false"/>
                <w:color w:val="221F1F"/>
                <w:sz w:val="20"/>
                <w:szCs w:val="20"/>
              </w:rPr>
              <w:t xml:space="preserve">India</w:t>
            </w:r>
          </w:p>
        </w:tc>
        <w:tc>
          <w:tcPr>
            <w:tcW w:type="dxa" w:w="4000"/>
            <w:shd w:fill="F7F7F7" w:val="clear"/>
            <w:tcMar>
              <w:top w:type="dxa" w:w="100"/>
              <w:left w:type="dxa" w:w="150"/>
              <w:bottom w:type="dxa" w:w="100"/>
              <w:right w:type="dxa" w:w="150"/>
            </w:tcMar>
            <w:vAlign w:val="center"/>
          </w:tcPr>
          <w:p>
            <w:r>
              <w:rPr>
                <w:b w:val="false"/>
                <w:bCs w:val="false"/>
                <w:color w:val="221F1F"/>
                <w:sz w:val="20"/>
                <w:szCs w:val="20"/>
              </w:rPr>
              <w:t xml:space="preserve">1.046</w:t>
            </w:r>
          </w:p>
        </w:tc>
      </w:tr>
      <w:tr>
        <w:tc>
          <w:tcPr>
            <w:tcW w:type="dxa" w:w="6000"/>
            <w:tcMar>
              <w:top w:type="dxa" w:w="100"/>
              <w:left w:type="dxa" w:w="150"/>
              <w:bottom w:type="dxa" w:w="100"/>
              <w:right w:type="dxa" w:w="150"/>
            </w:tcMar>
            <w:vAlign w:val="center"/>
          </w:tcPr>
          <w:p>
            <w:r>
              <w:rPr>
                <w:b w:val="false"/>
                <w:bCs w:val="false"/>
                <w:color w:val="221F1F"/>
                <w:sz w:val="20"/>
                <w:szCs w:val="20"/>
              </w:rPr>
              <w:t xml:space="preserve">Desconocido (sin declarar)</w:t>
            </w:r>
          </w:p>
        </w:tc>
        <w:tc>
          <w:tcPr>
            <w:tcW w:type="dxa" w:w="4000"/>
            <w:tcMar>
              <w:top w:type="dxa" w:w="100"/>
              <w:left w:type="dxa" w:w="150"/>
              <w:bottom w:type="dxa" w:w="100"/>
              <w:right w:type="dxa" w:w="150"/>
            </w:tcMar>
            <w:vAlign w:val="center"/>
          </w:tcPr>
          <w:p>
            <w:r>
              <w:rPr>
                <w:b w:val="false"/>
                <w:bCs w:val="false"/>
                <w:color w:val="221F1F"/>
                <w:sz w:val="20"/>
                <w:szCs w:val="20"/>
              </w:rPr>
              <w:t xml:space="preserve">831</w:t>
            </w:r>
          </w:p>
        </w:tc>
      </w:tr>
      <w:tr>
        <w:tc>
          <w:tcPr>
            <w:tcW w:type="dxa" w:w="6000"/>
            <w:shd w:fill="F7F7F7" w:val="clear"/>
            <w:tcMar>
              <w:top w:type="dxa" w:w="100"/>
              <w:left w:type="dxa" w:w="150"/>
              <w:bottom w:type="dxa" w:w="100"/>
              <w:right w:type="dxa" w:w="150"/>
            </w:tcMar>
            <w:vAlign w:val="center"/>
          </w:tcPr>
          <w:p>
            <w:r>
              <w:rPr>
                <w:b w:val="false"/>
                <w:bCs w:val="false"/>
                <w:color w:val="221F1F"/>
                <w:sz w:val="20"/>
                <w:szCs w:val="20"/>
              </w:rPr>
              <w:t xml:space="preserve">Reino Unido</w:t>
            </w:r>
          </w:p>
        </w:tc>
        <w:tc>
          <w:tcPr>
            <w:tcW w:type="dxa" w:w="4000"/>
            <w:shd w:fill="F7F7F7" w:val="clear"/>
            <w:tcMar>
              <w:top w:type="dxa" w:w="100"/>
              <w:left w:type="dxa" w:w="150"/>
              <w:bottom w:type="dxa" w:w="100"/>
              <w:right w:type="dxa" w:w="150"/>
            </w:tcMar>
            <w:vAlign w:val="center"/>
          </w:tcPr>
          <w:p>
            <w:r>
              <w:rPr>
                <w:b w:val="false"/>
                <w:bCs w:val="false"/>
                <w:color w:val="221F1F"/>
                <w:sz w:val="20"/>
                <w:szCs w:val="20"/>
              </w:rPr>
              <w:t xml:space="preserve">804</w:t>
            </w:r>
          </w:p>
        </w:tc>
      </w:tr>
    </w:tbl>
    <w:p>
      <w:pPr>
        <w:spacing w:after="250"/>
      </w:pPr>
      <w:r>
        <w:rPr>
          <w:i/>
          <w:iCs/>
          <w:color w:val="555555"/>
          <w:sz w:val="18"/>
          <w:szCs w:val="18"/>
        </w:rPr>
        <w:t xml:space="preserve">Casi el 10% de los títulos no declara país de forma explícita en el dataset original (categoría "Desconocido").</w:t>
      </w:r>
    </w:p>
    <w:p>
      <w:pPr>
        <w:pStyle w:val="Heading1"/>
        <w:pBdr>
          <w:bottom w:val="single" w:color="B81D24" w:sz="12" w:space="4"/>
        </w:pBdr>
        <w:spacing w:after="200" w:before="400"/>
      </w:pPr>
      <w:r>
        <w:rPr>
          <w:b/>
          <w:bCs/>
          <w:color w:val="221F1F"/>
          <w:sz w:val="30"/>
          <w:szCs w:val="30"/>
        </w:rPr>
        <w:t xml:space="preserve">3. Clasificación de audiencia</w:t>
      </w:r>
    </w:p>
    <w:p>
      <w:pPr>
        <w:spacing w:after="100"/>
        <w:jc w:val="center"/>
      </w:pPr>
      <w:r>
        <w:drawing>
          <wp:inline distT="0" distB="0" distL="0" distR="0">
            <wp:extent cx="5000000" cy="3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00000" cy="31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4500"/>
        <w:gridCol w:w="2500"/>
        <w:gridCol w:w="3000"/>
      </w:tblGrid>
      <w:tr>
        <w:trPr>
          <w:tblHeader/>
        </w:trPr>
        <w:tc>
          <w:tcPr>
            <w:tcW w:type="dxa" w:w="4500"/>
            <w:shd w:fill="B81D24" w:val="clear"/>
            <w:tcMar>
              <w:top w:type="dxa" w:w="100"/>
              <w:left w:type="dxa" w:w="150"/>
              <w:bottom w:type="dxa" w:w="100"/>
              <w:right w:type="dxa" w:w="150"/>
            </w:tcMar>
            <w:vAlign w:val="center"/>
          </w:tcPr>
          <w:p>
            <w:r>
              <w:rPr>
                <w:b/>
                <w:bCs/>
                <w:color w:val="FFFFFF"/>
                <w:sz w:val="20"/>
                <w:szCs w:val="20"/>
              </w:rPr>
              <w:t xml:space="preserve">Clasificación</w:t>
            </w:r>
          </w:p>
        </w:tc>
        <w:tc>
          <w:tcPr>
            <w:tcW w:type="dxa" w:w="2500"/>
            <w:shd w:fill="B81D24" w:val="clear"/>
            <w:tcMar>
              <w:top w:type="dxa" w:w="100"/>
              <w:left w:type="dxa" w:w="150"/>
              <w:bottom w:type="dxa" w:w="100"/>
              <w:right w:type="dxa" w:w="150"/>
            </w:tcMar>
            <w:vAlign w:val="center"/>
          </w:tcPr>
          <w:p>
            <w:r>
              <w:rPr>
                <w:b/>
                <w:bCs/>
                <w:color w:val="FFFFFF"/>
                <w:sz w:val="20"/>
                <w:szCs w:val="20"/>
              </w:rPr>
              <w:t xml:space="preserve">Cantidad</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Porcentaje del catálogo</w:t>
            </w:r>
          </w:p>
        </w:tc>
      </w:tr>
      <w:tr>
        <w:tc>
          <w:tcPr>
            <w:tcW w:type="dxa" w:w="4500"/>
            <w:tcMar>
              <w:top w:type="dxa" w:w="100"/>
              <w:left w:type="dxa" w:w="150"/>
              <w:bottom w:type="dxa" w:w="100"/>
              <w:right w:type="dxa" w:w="150"/>
            </w:tcMar>
            <w:vAlign w:val="center"/>
          </w:tcPr>
          <w:p>
            <w:r>
              <w:rPr>
                <w:b w:val="false"/>
                <w:bCs w:val="false"/>
                <w:color w:val="221F1F"/>
                <w:sz w:val="20"/>
                <w:szCs w:val="20"/>
              </w:rPr>
              <w:t xml:space="preserve">TV-MA (audiencia madura)</w:t>
            </w:r>
          </w:p>
        </w:tc>
        <w:tc>
          <w:tcPr>
            <w:tcW w:type="dxa" w:w="2500"/>
            <w:tcMar>
              <w:top w:type="dxa" w:w="100"/>
              <w:left w:type="dxa" w:w="150"/>
              <w:bottom w:type="dxa" w:w="100"/>
              <w:right w:type="dxa" w:w="150"/>
            </w:tcMar>
            <w:vAlign w:val="center"/>
          </w:tcPr>
          <w:p>
            <w:r>
              <w:rPr>
                <w:b w:val="false"/>
                <w:bCs w:val="false"/>
                <w:color w:val="221F1F"/>
                <w:sz w:val="20"/>
                <w:szCs w:val="20"/>
              </w:rPr>
              <w:t xml:space="preserve">3.207</w:t>
            </w:r>
          </w:p>
        </w:tc>
        <w:tc>
          <w:tcPr>
            <w:tcW w:type="dxa" w:w="3000"/>
            <w:tcMar>
              <w:top w:type="dxa" w:w="100"/>
              <w:left w:type="dxa" w:w="150"/>
              <w:bottom w:type="dxa" w:w="100"/>
              <w:right w:type="dxa" w:w="150"/>
            </w:tcMar>
            <w:vAlign w:val="center"/>
          </w:tcPr>
          <w:p>
            <w:r>
              <w:rPr>
                <w:b w:val="false"/>
                <w:bCs w:val="false"/>
                <w:color w:val="221F1F"/>
                <w:sz w:val="20"/>
                <w:szCs w:val="20"/>
              </w:rPr>
              <w:t xml:space="preserve">36,4%</w:t>
            </w:r>
          </w:p>
        </w:tc>
      </w:tr>
      <w:tr>
        <w:tc>
          <w:tcPr>
            <w:tcW w:type="dxa" w:w="4500"/>
            <w:shd w:fill="F7F7F7" w:val="clear"/>
            <w:tcMar>
              <w:top w:type="dxa" w:w="100"/>
              <w:left w:type="dxa" w:w="150"/>
              <w:bottom w:type="dxa" w:w="100"/>
              <w:right w:type="dxa" w:w="150"/>
            </w:tcMar>
            <w:vAlign w:val="center"/>
          </w:tcPr>
          <w:p>
            <w:r>
              <w:rPr>
                <w:b w:val="false"/>
                <w:bCs w:val="false"/>
                <w:color w:val="221F1F"/>
                <w:sz w:val="20"/>
                <w:szCs w:val="20"/>
              </w:rPr>
              <w:t xml:space="preserve">TV-14 (adolescentes/adultos)</w:t>
            </w:r>
          </w:p>
        </w:tc>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2.160</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24,5%</w:t>
            </w:r>
          </w:p>
        </w:tc>
      </w:tr>
      <w:tr>
        <w:tc>
          <w:tcPr>
            <w:tcW w:type="dxa" w:w="4500"/>
            <w:tcMar>
              <w:top w:type="dxa" w:w="100"/>
              <w:left w:type="dxa" w:w="150"/>
              <w:bottom w:type="dxa" w:w="100"/>
              <w:right w:type="dxa" w:w="150"/>
            </w:tcMar>
            <w:vAlign w:val="center"/>
          </w:tcPr>
          <w:p>
            <w:r>
              <w:rPr>
                <w:b w:val="false"/>
                <w:bCs w:val="false"/>
                <w:color w:val="221F1F"/>
                <w:sz w:val="20"/>
                <w:szCs w:val="20"/>
              </w:rPr>
              <w:t xml:space="preserve">Resto de clasificaciones</w:t>
            </w:r>
          </w:p>
        </w:tc>
        <w:tc>
          <w:tcPr>
            <w:tcW w:type="dxa" w:w="2500"/>
            <w:tcMar>
              <w:top w:type="dxa" w:w="100"/>
              <w:left w:type="dxa" w:w="150"/>
              <w:bottom w:type="dxa" w:w="100"/>
              <w:right w:type="dxa" w:w="150"/>
            </w:tcMar>
            <w:vAlign w:val="center"/>
          </w:tcPr>
          <w:p>
            <w:r>
              <w:rPr>
                <w:b w:val="false"/>
                <w:bCs w:val="false"/>
                <w:color w:val="221F1F"/>
                <w:sz w:val="20"/>
                <w:szCs w:val="20"/>
              </w:rPr>
              <w:t xml:space="preserve">3.440</w:t>
            </w:r>
          </w:p>
        </w:tc>
        <w:tc>
          <w:tcPr>
            <w:tcW w:type="dxa" w:w="3000"/>
            <w:tcMar>
              <w:top w:type="dxa" w:w="100"/>
              <w:left w:type="dxa" w:w="150"/>
              <w:bottom w:type="dxa" w:w="100"/>
              <w:right w:type="dxa" w:w="150"/>
            </w:tcMar>
            <w:vAlign w:val="center"/>
          </w:tcPr>
          <w:p>
            <w:r>
              <w:rPr>
                <w:b w:val="false"/>
                <w:bCs w:val="false"/>
                <w:color w:val="221F1F"/>
                <w:sz w:val="20"/>
                <w:szCs w:val="20"/>
              </w:rPr>
              <w:t xml:space="preserve">39,1%</w:t>
            </w:r>
          </w:p>
        </w:tc>
      </w:tr>
    </w:tbl>
    <w:p>
      <w:pPr>
        <w:spacing w:after="250"/>
      </w:pPr>
      <w:r>
        <w:rPr>
          <w:i/>
          <w:iCs/>
          <w:color w:val="555555"/>
          <w:sz w:val="18"/>
          <w:szCs w:val="18"/>
        </w:rPr>
        <w:t xml:space="preserve">TV-MA y TV-14 juntas superan el 60% del catálogo: predomina contenido para audiencia madura.</w:t>
      </w:r>
    </w:p>
    <w:p>
      <w:pPr>
        <w:pStyle w:val="Heading1"/>
        <w:pBdr>
          <w:bottom w:val="single" w:color="B81D24" w:sz="12" w:space="4"/>
        </w:pBdr>
        <w:spacing w:after="200" w:before="400"/>
      </w:pPr>
      <w:r>
        <w:rPr>
          <w:b/>
          <w:bCs/>
          <w:color w:val="221F1F"/>
          <w:sz w:val="30"/>
          <w:szCs w:val="30"/>
        </w:rPr>
        <w:t xml:space="preserve">4. Evolución del género dominante</w:t>
      </w:r>
    </w:p>
    <w:p>
      <w:pPr>
        <w:spacing w:after="100"/>
        <w:jc w:val="center"/>
      </w:pPr>
      <w:r>
        <w:drawing>
          <wp:inline distT="0" distB="0" distL="0" distR="0">
            <wp:extent cx="54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000" cy="3200000"/>
                    </a:xfrm>
                    <a:prstGeom prst="rect">
                      <a:avLst/>
                    </a:prstGeom>
                  </pic:spPr>
                </pic:pic>
              </a:graphicData>
            </a:graphic>
          </wp:inline>
        </w:drawing>
      </w:r>
    </w:p>
    <w:p>
      <w:pPr>
        <w:spacing w:after="150"/>
      </w:pPr>
      <w:r>
        <w:rPr>
          <w:color w:val="221F1F"/>
          <w:sz w:val="21"/>
          <w:szCs w:val="21"/>
        </w:rPr>
        <w:t xml:space="preserve">Agrupando los títulos por período según su fecha de incorporación (date_added), se observa un cambio de tendencia claro:</w:t>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2500"/>
        <w:gridCol w:w="3000"/>
        <w:gridCol w:w="4500"/>
      </w:tblGrid>
      <w:tr>
        <w:trPr>
          <w:tblHeader/>
        </w:trPr>
        <w:tc>
          <w:tcPr>
            <w:tcW w:type="dxa" w:w="2500"/>
            <w:shd w:fill="B81D24" w:val="clear"/>
            <w:tcMar>
              <w:top w:type="dxa" w:w="100"/>
              <w:left w:type="dxa" w:w="150"/>
              <w:bottom w:type="dxa" w:w="100"/>
              <w:right w:type="dxa" w:w="150"/>
            </w:tcMar>
            <w:vAlign w:val="center"/>
          </w:tcPr>
          <w:p>
            <w:r>
              <w:rPr>
                <w:b/>
                <w:bCs/>
                <w:color w:val="FFFFFF"/>
                <w:sz w:val="20"/>
                <w:szCs w:val="20"/>
              </w:rPr>
              <w:t xml:space="preserve">Período</w:t>
            </w:r>
          </w:p>
        </w:tc>
        <w:tc>
          <w:tcPr>
            <w:tcW w:type="dxa" w:w="3000"/>
            <w:shd w:fill="B81D24" w:val="clear"/>
            <w:tcMar>
              <w:top w:type="dxa" w:w="100"/>
              <w:left w:type="dxa" w:w="150"/>
              <w:bottom w:type="dxa" w:w="100"/>
              <w:right w:type="dxa" w:w="150"/>
            </w:tcMar>
            <w:vAlign w:val="center"/>
          </w:tcPr>
          <w:p>
            <w:r>
              <w:rPr>
                <w:b/>
                <w:bCs/>
                <w:color w:val="FFFFFF"/>
                <w:sz w:val="20"/>
                <w:szCs w:val="20"/>
              </w:rPr>
              <w:t xml:space="preserve">Género dominante</w:t>
            </w:r>
          </w:p>
        </w:tc>
        <w:tc>
          <w:tcPr>
            <w:tcW w:type="dxa" w:w="4500"/>
            <w:shd w:fill="B81D24" w:val="clear"/>
            <w:tcMar>
              <w:top w:type="dxa" w:w="100"/>
              <w:left w:type="dxa" w:w="150"/>
              <w:bottom w:type="dxa" w:w="100"/>
              <w:right w:type="dxa" w:w="150"/>
            </w:tcMar>
            <w:vAlign w:val="center"/>
          </w:tcPr>
          <w:p>
            <w:r>
              <w:rPr>
                <w:b/>
                <w:bCs/>
                <w:color w:val="FFFFFF"/>
                <w:sz w:val="20"/>
                <w:szCs w:val="20"/>
              </w:rPr>
              <w:t xml:space="preserve">Contexto</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2008 – 2015</w:t>
            </w:r>
          </w:p>
        </w:tc>
        <w:tc>
          <w:tcPr>
            <w:tcW w:type="dxa" w:w="3000"/>
            <w:tcMar>
              <w:top w:type="dxa" w:w="100"/>
              <w:left w:type="dxa" w:w="150"/>
              <w:bottom w:type="dxa" w:w="100"/>
              <w:right w:type="dxa" w:w="150"/>
            </w:tcMar>
            <w:vAlign w:val="center"/>
          </w:tcPr>
          <w:p>
            <w:r>
              <w:rPr>
                <w:b w:val="false"/>
                <w:bCs w:val="false"/>
                <w:color w:val="221F1F"/>
                <w:sz w:val="20"/>
                <w:szCs w:val="20"/>
              </w:rPr>
              <w:t xml:space="preserve">Dramas</w:t>
            </w:r>
          </w:p>
        </w:tc>
        <w:tc>
          <w:tcPr>
            <w:tcW w:type="dxa" w:w="4500"/>
            <w:tcMar>
              <w:top w:type="dxa" w:w="100"/>
              <w:left w:type="dxa" w:w="150"/>
              <w:bottom w:type="dxa" w:w="100"/>
              <w:right w:type="dxa" w:w="150"/>
            </w:tcMar>
            <w:vAlign w:val="center"/>
          </w:tcPr>
          <w:p>
            <w:r>
              <w:rPr>
                <w:b w:val="false"/>
                <w:bCs w:val="false"/>
                <w:color w:val="221F1F"/>
                <w:sz w:val="20"/>
                <w:szCs w:val="20"/>
              </w:rPr>
              <w:t xml:space="preserve">Primeros años del catálogo, crecimiento lento.</w:t>
            </w:r>
          </w:p>
        </w:tc>
      </w:tr>
      <w:tr>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2016 – 2021</w:t>
            </w:r>
          </w:p>
        </w:tc>
        <w:tc>
          <w:tcPr>
            <w:tcW w:type="dxa" w:w="3000"/>
            <w:shd w:fill="F7F7F7" w:val="clear"/>
            <w:tcMar>
              <w:top w:type="dxa" w:w="100"/>
              <w:left w:type="dxa" w:w="150"/>
              <w:bottom w:type="dxa" w:w="100"/>
              <w:right w:type="dxa" w:w="150"/>
            </w:tcMar>
            <w:vAlign w:val="center"/>
          </w:tcPr>
          <w:p>
            <w:r>
              <w:rPr>
                <w:b w:val="false"/>
                <w:bCs w:val="false"/>
                <w:color w:val="221F1F"/>
                <w:sz w:val="20"/>
                <w:szCs w:val="20"/>
              </w:rPr>
              <w:t xml:space="preserve">International Movies</w:t>
            </w:r>
          </w:p>
        </w:tc>
        <w:tc>
          <w:tcPr>
            <w:tcW w:type="dxa" w:w="4500"/>
            <w:shd w:fill="F7F7F7" w:val="clear"/>
            <w:tcMar>
              <w:top w:type="dxa" w:w="100"/>
              <w:left w:type="dxa" w:w="150"/>
              <w:bottom w:type="dxa" w:w="100"/>
              <w:right w:type="dxa" w:w="150"/>
            </w:tcMar>
            <w:vAlign w:val="center"/>
          </w:tcPr>
          <w:p>
            <w:r>
              <w:rPr>
                <w:b w:val="false"/>
                <w:bCs w:val="false"/>
                <w:color w:val="221F1F"/>
                <w:sz w:val="20"/>
                <w:szCs w:val="20"/>
              </w:rPr>
              <w:t xml:space="preserve">Coincide con la expansión internacional de Netflix a la mayoría de países del mundo.</w:t>
            </w:r>
          </w:p>
        </w:tc>
      </w:tr>
    </w:tbl>
    <w:p>
      <w:pPr>
        <w:spacing w:after="250"/>
      </w:pPr>
      <w:r>
        <w:rPr>
          <w:i/>
          <w:iCs/>
          <w:color w:val="555555"/>
          <w:sz w:val="18"/>
          <w:szCs w:val="18"/>
        </w:rPr>
        <w:t xml:space="preserve">Este análisis por período no está en el pipeline original (analizadorDatos solo calcula el top general de géneros); se calculó de forma adicional agrupando por date_added.</w:t>
      </w:r>
    </w:p>
    <w:p>
      <w:pPr>
        <w:pStyle w:val="Heading1"/>
        <w:pBdr>
          <w:bottom w:val="single" w:color="B81D24" w:sz="12" w:space="4"/>
        </w:pBdr>
        <w:spacing w:after="200" w:before="400"/>
      </w:pPr>
      <w:r>
        <w:rPr>
          <w:b/>
          <w:bCs/>
          <w:color w:val="221F1F"/>
          <w:sz w:val="30"/>
          <w:szCs w:val="30"/>
        </w:rPr>
        <w:t xml:space="preserve">5. Crecimiento del catálogo</w:t>
      </w:r>
    </w:p>
    <w:p>
      <w:pPr>
        <w:spacing w:after="100"/>
        <w:jc w:val="center"/>
      </w:pPr>
      <w:r>
        <w:drawing>
          <wp:inline distT="0" distB="0" distL="0" distR="0">
            <wp:extent cx="5700000" cy="3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00000" cy="34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2500"/>
        <w:gridCol w:w="7500"/>
      </w:tblGrid>
      <w:tr>
        <w:trPr>
          <w:tblHeader/>
        </w:trPr>
        <w:tc>
          <w:tcPr>
            <w:tcW w:type="dxa" w:w="2500"/>
            <w:shd w:fill="B81D24" w:val="clear"/>
            <w:tcMar>
              <w:top w:type="dxa" w:w="100"/>
              <w:left w:type="dxa" w:w="150"/>
              <w:bottom w:type="dxa" w:w="100"/>
              <w:right w:type="dxa" w:w="150"/>
            </w:tcMar>
            <w:vAlign w:val="center"/>
          </w:tcPr>
          <w:p>
            <w:r>
              <w:rPr>
                <w:b/>
                <w:bCs/>
                <w:color w:val="FFFFFF"/>
                <w:sz w:val="20"/>
                <w:szCs w:val="20"/>
              </w:rPr>
              <w:t xml:space="preserve">Período</w:t>
            </w:r>
          </w:p>
        </w:tc>
        <w:tc>
          <w:tcPr>
            <w:tcW w:type="dxa" w:w="7500"/>
            <w:shd w:fill="B81D24" w:val="clear"/>
            <w:tcMar>
              <w:top w:type="dxa" w:w="100"/>
              <w:left w:type="dxa" w:w="150"/>
              <w:bottom w:type="dxa" w:w="100"/>
              <w:right w:type="dxa" w:w="150"/>
            </w:tcMar>
            <w:vAlign w:val="center"/>
          </w:tcPr>
          <w:p>
            <w:r>
              <w:rPr>
                <w:b/>
                <w:bCs/>
                <w:color w:val="FFFFFF"/>
                <w:sz w:val="20"/>
                <w:szCs w:val="20"/>
              </w:rPr>
              <w:t xml:space="preserve">Comportamiento</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2008 – 2015</w:t>
            </w:r>
          </w:p>
        </w:tc>
        <w:tc>
          <w:tcPr>
            <w:tcW w:type="dxa" w:w="7500"/>
            <w:tcMar>
              <w:top w:type="dxa" w:w="100"/>
              <w:left w:type="dxa" w:w="150"/>
              <w:bottom w:type="dxa" w:w="100"/>
              <w:right w:type="dxa" w:w="150"/>
            </w:tcMar>
            <w:vAlign w:val="center"/>
          </w:tcPr>
          <w:p>
            <w:r>
              <w:rPr>
                <w:b w:val="false"/>
                <w:bCs w:val="false"/>
                <w:color w:val="221F1F"/>
                <w:sz w:val="20"/>
                <w:szCs w:val="20"/>
              </w:rPr>
              <w:t xml:space="preserve">Crecimiento casi imperceptible (menos de 25 títulos agregados por año).</w:t>
            </w:r>
          </w:p>
        </w:tc>
      </w:tr>
      <w:tr>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2016 – 2019</w:t>
            </w:r>
          </w:p>
        </w:tc>
        <w:tc>
          <w:tcPr>
            <w:tcW w:type="dxa" w:w="7500"/>
            <w:shd w:fill="F7F7F7" w:val="clear"/>
            <w:tcMar>
              <w:top w:type="dxa" w:w="100"/>
              <w:left w:type="dxa" w:w="150"/>
              <w:bottom w:type="dxa" w:w="100"/>
              <w:right w:type="dxa" w:w="150"/>
            </w:tcMar>
            <w:vAlign w:val="center"/>
          </w:tcPr>
          <w:p>
            <w:r>
              <w:rPr>
                <w:b w:val="false"/>
                <w:bCs w:val="false"/>
                <w:color w:val="221F1F"/>
                <w:sz w:val="20"/>
                <w:szCs w:val="20"/>
              </w:rPr>
              <w:t xml:space="preserve">Aceleración fuerte del catálogo.</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2019</w:t>
            </w:r>
          </w:p>
        </w:tc>
        <w:tc>
          <w:tcPr>
            <w:tcW w:type="dxa" w:w="7500"/>
            <w:tcMar>
              <w:top w:type="dxa" w:w="100"/>
              <w:left w:type="dxa" w:w="150"/>
              <w:bottom w:type="dxa" w:w="100"/>
              <w:right w:type="dxa" w:w="150"/>
            </w:tcMar>
            <w:vAlign w:val="center"/>
          </w:tcPr>
          <w:p>
            <w:r>
              <w:rPr>
                <w:b w:val="false"/>
                <w:bCs w:val="false"/>
                <w:color w:val="221F1F"/>
                <w:sz w:val="20"/>
                <w:szCs w:val="20"/>
              </w:rPr>
              <w:t xml:space="preserve">Pico histórico: 1.999 títulos agregados en el año.</w:t>
            </w:r>
          </w:p>
        </w:tc>
      </w:tr>
      <w:tr>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2020</w:t>
            </w:r>
          </w:p>
        </w:tc>
        <w:tc>
          <w:tcPr>
            <w:tcW w:type="dxa" w:w="7500"/>
            <w:shd w:fill="F7F7F7" w:val="clear"/>
            <w:tcMar>
              <w:top w:type="dxa" w:w="100"/>
              <w:left w:type="dxa" w:w="150"/>
              <w:bottom w:type="dxa" w:w="100"/>
              <w:right w:type="dxa" w:w="150"/>
            </w:tcMar>
            <w:vAlign w:val="center"/>
          </w:tcPr>
          <w:p>
            <w:r>
              <w:rPr>
                <w:b w:val="false"/>
                <w:bCs w:val="false"/>
                <w:color w:val="221F1F"/>
                <w:sz w:val="20"/>
                <w:szCs w:val="20"/>
              </w:rPr>
              <w:t xml:space="preserve">1.878 títulos agregados (leve caída).</w:t>
            </w:r>
          </w:p>
        </w:tc>
      </w:tr>
      <w:tr>
        <w:tc>
          <w:tcPr>
            <w:tcW w:type="dxa" w:w="2500"/>
            <w:tcMar>
              <w:top w:type="dxa" w:w="100"/>
              <w:left w:type="dxa" w:w="150"/>
              <w:bottom w:type="dxa" w:w="100"/>
              <w:right w:type="dxa" w:w="150"/>
            </w:tcMar>
            <w:vAlign w:val="center"/>
          </w:tcPr>
          <w:p>
            <w:r>
              <w:rPr>
                <w:b w:val="false"/>
                <w:bCs w:val="false"/>
                <w:color w:val="221F1F"/>
                <w:sz w:val="20"/>
                <w:szCs w:val="20"/>
              </w:rPr>
              <w:t xml:space="preserve">2021</w:t>
            </w:r>
          </w:p>
        </w:tc>
        <w:tc>
          <w:tcPr>
            <w:tcW w:type="dxa" w:w="7500"/>
            <w:tcMar>
              <w:top w:type="dxa" w:w="100"/>
              <w:left w:type="dxa" w:w="150"/>
              <w:bottom w:type="dxa" w:w="100"/>
              <w:right w:type="dxa" w:w="150"/>
            </w:tcMar>
            <w:vAlign w:val="center"/>
          </w:tcPr>
          <w:p>
            <w:r>
              <w:rPr>
                <w:b w:val="false"/>
                <w:bCs w:val="false"/>
                <w:color w:val="221F1F"/>
                <w:sz w:val="20"/>
                <w:szCs w:val="20"/>
              </w:rPr>
              <w:t xml:space="preserve">1.498 títulos agregados (caída más marcada).</w:t>
            </w:r>
          </w:p>
        </w:tc>
      </w:tr>
    </w:tbl>
    <w:p>
      <w:pPr>
        <w:spacing w:after="250"/>
      </w:pPr>
      <w:r>
        <w:rPr>
          <w:i/>
          <w:iCs/>
          <w:color w:val="555555"/>
          <w:sz w:val="18"/>
          <w:szCs w:val="18"/>
        </w:rPr>
        <w:t xml:space="preserve">Los valores de 2019, 2020 y 2021 son los calculados directamente por el pipeline (analizarTitulosAgregadosPorAño). Los puntos intermedios entre 2016 y 2018 en la gráfica son ilustrativos de la tendencia de aceleración descrita en la documentación del proyecto, no un cálculo exacto año por año.</w:t>
      </w:r>
    </w:p>
    <w:p>
      <w:pPr>
        <w:pStyle w:val="Heading1"/>
        <w:pBdr>
          <w:bottom w:val="single" w:color="B81D24" w:sz="12" w:space="4"/>
        </w:pBdr>
        <w:spacing w:after="200" w:before="400"/>
      </w:pPr>
      <w:r>
        <w:rPr>
          <w:b/>
          <w:bCs/>
          <w:color w:val="221F1F"/>
          <w:sz w:val="30"/>
          <w:szCs w:val="30"/>
        </w:rPr>
        <w:t xml:space="preserve">6. Valoración de usuarios por género</w:t>
      </w:r>
    </w:p>
    <w:p>
      <w:pPr>
        <w:spacing w:after="150"/>
      </w:pPr>
      <w:r>
        <w:rPr>
          <w:color w:val="221F1F"/>
          <w:sz w:val="21"/>
          <w:szCs w:val="21"/>
        </w:rPr>
        <w:t xml:space="preserve">Cruzando los dos datasets del proyecto por título (netflix.csv con netflix_titles.csv), es posible ver si el género influye en la valoración de los usuarios. De las 256 valoraciones válidas, 136 títulos coincidieron por nombre con el catálogo principal y tienen género asignado.</w:t>
      </w:r>
    </w:p>
    <w:p>
      <w:pPr>
        <w:spacing w:after="100"/>
        <w:jc w:val="center"/>
      </w:pPr>
      <w:r>
        <w:drawing>
          <wp:inline distT="0" distB="0" distL="0" distR="0">
            <wp:extent cx="6400000" cy="37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000" cy="3700000"/>
                    </a:xfrm>
                    <a:prstGeom prst="rect">
                      <a:avLst/>
                    </a:prstGeom>
                  </pic:spPr>
                </pic:pic>
              </a:graphicData>
            </a:graphic>
          </wp:inline>
        </w:drawing>
      </w:r>
    </w:p>
    <w:tbl>
      <w:tblPr>
        <w:tblW w:type="pct" w:w="100%"/>
        <w:tblBorders>
          <w:top w:val="single" w:color="CCCCCC" w:sz="2"/>
          <w:left w:val="single" w:color="CCCCCC" w:sz="2"/>
          <w:bottom w:val="single" w:color="CCCCCC" w:sz="2"/>
          <w:right w:val="single" w:color="CCCCCC" w:sz="2"/>
          <w:insideH w:val="single" w:color="E5E5E5" w:sz="2"/>
          <w:insideV w:val="single" w:color="E5E5E5" w:sz="2"/>
        </w:tblBorders>
      </w:tblPr>
      <w:tblGrid>
        <w:gridCol w:w="3500"/>
        <w:gridCol w:w="2500"/>
        <w:gridCol w:w="2000"/>
      </w:tblGrid>
      <w:tr>
        <w:trPr>
          <w:tblHeader/>
        </w:trPr>
        <w:tc>
          <w:tcPr>
            <w:tcW w:type="dxa" w:w="3500"/>
            <w:shd w:fill="B81D24" w:val="clear"/>
            <w:tcMar>
              <w:top w:type="dxa" w:w="100"/>
              <w:left w:type="dxa" w:w="150"/>
              <w:bottom w:type="dxa" w:w="100"/>
              <w:right w:type="dxa" w:w="150"/>
            </w:tcMar>
            <w:vAlign w:val="center"/>
          </w:tcPr>
          <w:p>
            <w:r>
              <w:rPr>
                <w:b/>
                <w:bCs/>
                <w:color w:val="FFFFFF"/>
                <w:sz w:val="20"/>
                <w:szCs w:val="20"/>
              </w:rPr>
              <w:t xml:space="preserve">Género</w:t>
            </w:r>
          </w:p>
        </w:tc>
        <w:tc>
          <w:tcPr>
            <w:tcW w:type="dxa" w:w="2500"/>
            <w:shd w:fill="B81D24" w:val="clear"/>
            <w:tcMar>
              <w:top w:type="dxa" w:w="100"/>
              <w:left w:type="dxa" w:w="150"/>
              <w:bottom w:type="dxa" w:w="100"/>
              <w:right w:type="dxa" w:w="150"/>
            </w:tcMar>
            <w:vAlign w:val="center"/>
          </w:tcPr>
          <w:p>
            <w:r>
              <w:rPr>
                <w:b/>
                <w:bCs/>
                <w:color w:val="FFFFFF"/>
                <w:sz w:val="20"/>
                <w:szCs w:val="20"/>
              </w:rPr>
              <w:t xml:space="preserve">Títulos valorados</w:t>
            </w:r>
          </w:p>
        </w:tc>
        <w:tc>
          <w:tcPr>
            <w:tcW w:type="dxa" w:w="2000"/>
            <w:shd w:fill="B81D24" w:val="clear"/>
            <w:tcMar>
              <w:top w:type="dxa" w:w="100"/>
              <w:left w:type="dxa" w:w="150"/>
              <w:bottom w:type="dxa" w:w="100"/>
              <w:right w:type="dxa" w:w="150"/>
            </w:tcMar>
            <w:vAlign w:val="center"/>
          </w:tcPr>
          <w:p>
            <w:r>
              <w:rPr>
                <w:b/>
                <w:bCs/>
                <w:color w:val="FFFFFF"/>
                <w:sz w:val="20"/>
                <w:szCs w:val="20"/>
              </w:rPr>
              <w:t xml:space="preserve">Promedio</w:t>
            </w:r>
          </w:p>
        </w:tc>
      </w:tr>
      <w:tr>
        <w:tc>
          <w:tcPr>
            <w:tcW w:type="dxa" w:w="3500"/>
            <w:tcMar>
              <w:top w:type="dxa" w:w="100"/>
              <w:left w:type="dxa" w:w="150"/>
              <w:bottom w:type="dxa" w:w="100"/>
              <w:right w:type="dxa" w:w="150"/>
            </w:tcMar>
            <w:vAlign w:val="center"/>
          </w:tcPr>
          <w:p>
            <w:r>
              <w:rPr>
                <w:b w:val="false"/>
                <w:bCs w:val="false"/>
                <w:color w:val="221F1F"/>
                <w:sz w:val="20"/>
                <w:szCs w:val="20"/>
              </w:rPr>
              <w:t xml:space="preserve">Romantic TV Shows</w:t>
            </w:r>
          </w:p>
        </w:tc>
        <w:tc>
          <w:tcPr>
            <w:tcW w:type="dxa" w:w="2500"/>
            <w:tcMar>
              <w:top w:type="dxa" w:w="100"/>
              <w:left w:type="dxa" w:w="150"/>
              <w:bottom w:type="dxa" w:w="100"/>
              <w:right w:type="dxa" w:w="150"/>
            </w:tcMar>
            <w:vAlign w:val="center"/>
          </w:tcPr>
          <w:p>
            <w:r>
              <w:rPr>
                <w:b w:val="false"/>
                <w:bCs w:val="false"/>
                <w:color w:val="221F1F"/>
                <w:sz w:val="20"/>
                <w:szCs w:val="20"/>
              </w:rPr>
              <w:t xml:space="preserve">6</w:t>
            </w:r>
          </w:p>
        </w:tc>
        <w:tc>
          <w:tcPr>
            <w:tcW w:type="dxa" w:w="2000"/>
            <w:tcMar>
              <w:top w:type="dxa" w:w="100"/>
              <w:left w:type="dxa" w:w="150"/>
              <w:bottom w:type="dxa" w:w="100"/>
              <w:right w:type="dxa" w:w="150"/>
            </w:tcMar>
            <w:vAlign w:val="center"/>
          </w:tcPr>
          <w:p>
            <w:r>
              <w:rPr>
                <w:b w:val="false"/>
                <w:bCs w:val="false"/>
                <w:color w:val="221F1F"/>
                <w:sz w:val="20"/>
                <w:szCs w:val="20"/>
              </w:rPr>
              <w:t xml:space="preserve">93,7</w:t>
            </w:r>
          </w:p>
        </w:tc>
      </w:tr>
      <w:tr>
        <w:tc>
          <w:tcPr>
            <w:tcW w:type="dxa" w:w="3500"/>
            <w:shd w:fill="F7F7F7" w:val="clear"/>
            <w:tcMar>
              <w:top w:type="dxa" w:w="100"/>
              <w:left w:type="dxa" w:w="150"/>
              <w:bottom w:type="dxa" w:w="100"/>
              <w:right w:type="dxa" w:w="150"/>
            </w:tcMar>
            <w:vAlign w:val="center"/>
          </w:tcPr>
          <w:p>
            <w:r>
              <w:rPr>
                <w:b w:val="false"/>
                <w:bCs w:val="false"/>
                <w:color w:val="221F1F"/>
                <w:sz w:val="20"/>
                <w:szCs w:val="20"/>
              </w:rPr>
              <w:t xml:space="preserve">TV Sci-Fi &amp; Fantasy</w:t>
            </w:r>
          </w:p>
        </w:tc>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8</w:t>
            </w:r>
          </w:p>
        </w:tc>
        <w:tc>
          <w:tcPr>
            <w:tcW w:type="dxa" w:w="2000"/>
            <w:shd w:fill="F7F7F7" w:val="clear"/>
            <w:tcMar>
              <w:top w:type="dxa" w:w="100"/>
              <w:left w:type="dxa" w:w="150"/>
              <w:bottom w:type="dxa" w:w="100"/>
              <w:right w:type="dxa" w:w="150"/>
            </w:tcMar>
            <w:vAlign w:val="center"/>
          </w:tcPr>
          <w:p>
            <w:r>
              <w:rPr>
                <w:b w:val="false"/>
                <w:bCs w:val="false"/>
                <w:color w:val="221F1F"/>
                <w:sz w:val="20"/>
                <w:szCs w:val="20"/>
              </w:rPr>
              <w:t xml:space="preserve">90,9</w:t>
            </w:r>
          </w:p>
        </w:tc>
      </w:tr>
      <w:tr>
        <w:tc>
          <w:tcPr>
            <w:tcW w:type="dxa" w:w="3500"/>
            <w:tcMar>
              <w:top w:type="dxa" w:w="100"/>
              <w:left w:type="dxa" w:w="150"/>
              <w:bottom w:type="dxa" w:w="100"/>
              <w:right w:type="dxa" w:w="150"/>
            </w:tcMar>
            <w:vAlign w:val="center"/>
          </w:tcPr>
          <w:p>
            <w:r>
              <w:rPr>
                <w:b w:val="false"/>
                <w:bCs w:val="false"/>
                <w:color w:val="221F1F"/>
                <w:sz w:val="20"/>
                <w:szCs w:val="20"/>
              </w:rPr>
              <w:t xml:space="preserve">Crime TV Shows</w:t>
            </w:r>
          </w:p>
        </w:tc>
        <w:tc>
          <w:tcPr>
            <w:tcW w:type="dxa" w:w="2500"/>
            <w:tcMar>
              <w:top w:type="dxa" w:w="100"/>
              <w:left w:type="dxa" w:w="150"/>
              <w:bottom w:type="dxa" w:w="100"/>
              <w:right w:type="dxa" w:w="150"/>
            </w:tcMar>
            <w:vAlign w:val="center"/>
          </w:tcPr>
          <w:p>
            <w:r>
              <w:rPr>
                <w:b w:val="false"/>
                <w:bCs w:val="false"/>
                <w:color w:val="221F1F"/>
                <w:sz w:val="20"/>
                <w:szCs w:val="20"/>
              </w:rPr>
              <w:t xml:space="preserve">30</w:t>
            </w:r>
          </w:p>
        </w:tc>
        <w:tc>
          <w:tcPr>
            <w:tcW w:type="dxa" w:w="2000"/>
            <w:tcMar>
              <w:top w:type="dxa" w:w="100"/>
              <w:left w:type="dxa" w:w="150"/>
              <w:bottom w:type="dxa" w:w="100"/>
              <w:right w:type="dxa" w:w="150"/>
            </w:tcMar>
            <w:vAlign w:val="center"/>
          </w:tcPr>
          <w:p>
            <w:r>
              <w:rPr>
                <w:b w:val="false"/>
                <w:bCs w:val="false"/>
                <w:color w:val="221F1F"/>
                <w:sz w:val="20"/>
                <w:szCs w:val="20"/>
              </w:rPr>
              <w:t xml:space="preserve">90,0</w:t>
            </w:r>
          </w:p>
        </w:tc>
      </w:tr>
      <w:tr>
        <w:tc>
          <w:tcPr>
            <w:tcW w:type="dxa" w:w="3500"/>
            <w:shd w:fill="F7F7F7" w:val="clear"/>
            <w:tcMar>
              <w:top w:type="dxa" w:w="100"/>
              <w:left w:type="dxa" w:w="150"/>
              <w:bottom w:type="dxa" w:w="100"/>
              <w:right w:type="dxa" w:w="150"/>
            </w:tcMar>
            <w:vAlign w:val="center"/>
          </w:tcPr>
          <w:p>
            <w:r>
              <w:rPr>
                <w:b w:val="false"/>
                <w:bCs w:val="false"/>
                <w:color w:val="221F1F"/>
                <w:sz w:val="20"/>
                <w:szCs w:val="20"/>
              </w:rPr>
              <w:t xml:space="preserve">TV Dramas</w:t>
            </w:r>
          </w:p>
        </w:tc>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60</w:t>
            </w:r>
          </w:p>
        </w:tc>
        <w:tc>
          <w:tcPr>
            <w:tcW w:type="dxa" w:w="2000"/>
            <w:shd w:fill="F7F7F7" w:val="clear"/>
            <w:tcMar>
              <w:top w:type="dxa" w:w="100"/>
              <w:left w:type="dxa" w:w="150"/>
              <w:bottom w:type="dxa" w:w="100"/>
              <w:right w:type="dxa" w:w="150"/>
            </w:tcMar>
            <w:vAlign w:val="center"/>
          </w:tcPr>
          <w:p>
            <w:r>
              <w:rPr>
                <w:b w:val="false"/>
                <w:bCs w:val="false"/>
                <w:color w:val="221F1F"/>
                <w:sz w:val="20"/>
                <w:szCs w:val="20"/>
              </w:rPr>
              <w:t xml:space="preserve">86,3</w:t>
            </w:r>
          </w:p>
        </w:tc>
      </w:tr>
      <w:tr>
        <w:tc>
          <w:tcPr>
            <w:tcW w:type="dxa" w:w="3500"/>
            <w:tcMar>
              <w:top w:type="dxa" w:w="100"/>
              <w:left w:type="dxa" w:w="150"/>
              <w:bottom w:type="dxa" w:w="100"/>
              <w:right w:type="dxa" w:w="150"/>
            </w:tcMar>
            <w:vAlign w:val="center"/>
          </w:tcPr>
          <w:p>
            <w:r>
              <w:rPr>
                <w:b w:val="false"/>
                <w:bCs w:val="false"/>
                <w:color w:val="221F1F"/>
                <w:sz w:val="20"/>
                <w:szCs w:val="20"/>
              </w:rPr>
              <w:t xml:space="preserve">TV Comedies</w:t>
            </w:r>
          </w:p>
        </w:tc>
        <w:tc>
          <w:tcPr>
            <w:tcW w:type="dxa" w:w="2500"/>
            <w:tcMar>
              <w:top w:type="dxa" w:w="100"/>
              <w:left w:type="dxa" w:w="150"/>
              <w:bottom w:type="dxa" w:w="100"/>
              <w:right w:type="dxa" w:w="150"/>
            </w:tcMar>
            <w:vAlign w:val="center"/>
          </w:tcPr>
          <w:p>
            <w:r>
              <w:rPr>
                <w:b w:val="false"/>
                <w:bCs w:val="false"/>
                <w:color w:val="221F1F"/>
                <w:sz w:val="20"/>
                <w:szCs w:val="20"/>
              </w:rPr>
              <w:t xml:space="preserve">32</w:t>
            </w:r>
          </w:p>
        </w:tc>
        <w:tc>
          <w:tcPr>
            <w:tcW w:type="dxa" w:w="2000"/>
            <w:tcMar>
              <w:top w:type="dxa" w:w="100"/>
              <w:left w:type="dxa" w:w="150"/>
              <w:bottom w:type="dxa" w:w="100"/>
              <w:right w:type="dxa" w:w="150"/>
            </w:tcMar>
            <w:vAlign w:val="center"/>
          </w:tcPr>
          <w:p>
            <w:r>
              <w:rPr>
                <w:b w:val="false"/>
                <w:bCs w:val="false"/>
                <w:color w:val="221F1F"/>
                <w:sz w:val="20"/>
                <w:szCs w:val="20"/>
              </w:rPr>
              <w:t xml:space="preserve">82,2</w:t>
            </w:r>
          </w:p>
        </w:tc>
      </w:tr>
      <w:tr>
        <w:tc>
          <w:tcPr>
            <w:tcW w:type="dxa" w:w="3500"/>
            <w:shd w:fill="F7F7F7" w:val="clear"/>
            <w:tcMar>
              <w:top w:type="dxa" w:w="100"/>
              <w:left w:type="dxa" w:w="150"/>
              <w:bottom w:type="dxa" w:w="100"/>
              <w:right w:type="dxa" w:w="150"/>
            </w:tcMar>
            <w:vAlign w:val="center"/>
          </w:tcPr>
          <w:p>
            <w:r>
              <w:rPr>
                <w:b w:val="false"/>
                <w:bCs w:val="false"/>
                <w:color w:val="221F1F"/>
                <w:sz w:val="20"/>
                <w:szCs w:val="20"/>
              </w:rPr>
              <w:t xml:space="preserve">Children &amp; Family Movies</w:t>
            </w:r>
          </w:p>
        </w:tc>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16</w:t>
            </w:r>
          </w:p>
        </w:tc>
        <w:tc>
          <w:tcPr>
            <w:tcW w:type="dxa" w:w="2000"/>
            <w:shd w:fill="F7F7F7" w:val="clear"/>
            <w:tcMar>
              <w:top w:type="dxa" w:w="100"/>
              <w:left w:type="dxa" w:w="150"/>
              <w:bottom w:type="dxa" w:w="100"/>
              <w:right w:type="dxa" w:w="150"/>
            </w:tcMar>
            <w:vAlign w:val="center"/>
          </w:tcPr>
          <w:p>
            <w:r>
              <w:rPr>
                <w:b w:val="false"/>
                <w:bCs w:val="false"/>
                <w:color w:val="221F1F"/>
                <w:sz w:val="20"/>
                <w:szCs w:val="20"/>
              </w:rPr>
              <w:t xml:space="preserve">80,7</w:t>
            </w:r>
          </w:p>
        </w:tc>
      </w:tr>
      <w:tr>
        <w:tc>
          <w:tcPr>
            <w:tcW w:type="dxa" w:w="3500"/>
            <w:tcMar>
              <w:top w:type="dxa" w:w="100"/>
              <w:left w:type="dxa" w:w="150"/>
              <w:bottom w:type="dxa" w:w="100"/>
              <w:right w:type="dxa" w:w="150"/>
            </w:tcMar>
            <w:vAlign w:val="center"/>
          </w:tcPr>
          <w:p>
            <w:r>
              <w:rPr>
                <w:b w:val="false"/>
                <w:bCs w:val="false"/>
                <w:color w:val="221F1F"/>
                <w:sz w:val="20"/>
                <w:szCs w:val="20"/>
              </w:rPr>
              <w:t xml:space="preserve">Kids' TV</w:t>
            </w:r>
          </w:p>
        </w:tc>
        <w:tc>
          <w:tcPr>
            <w:tcW w:type="dxa" w:w="2500"/>
            <w:tcMar>
              <w:top w:type="dxa" w:w="100"/>
              <w:left w:type="dxa" w:w="150"/>
              <w:bottom w:type="dxa" w:w="100"/>
              <w:right w:type="dxa" w:w="150"/>
            </w:tcMar>
            <w:vAlign w:val="center"/>
          </w:tcPr>
          <w:p>
            <w:r>
              <w:rPr>
                <w:b w:val="false"/>
                <w:bCs w:val="false"/>
                <w:color w:val="221F1F"/>
                <w:sz w:val="20"/>
                <w:szCs w:val="20"/>
              </w:rPr>
              <w:t xml:space="preserve">20</w:t>
            </w:r>
          </w:p>
        </w:tc>
        <w:tc>
          <w:tcPr>
            <w:tcW w:type="dxa" w:w="2000"/>
            <w:tcMar>
              <w:top w:type="dxa" w:w="100"/>
              <w:left w:type="dxa" w:w="150"/>
              <w:bottom w:type="dxa" w:w="100"/>
              <w:right w:type="dxa" w:w="150"/>
            </w:tcMar>
            <w:vAlign w:val="center"/>
          </w:tcPr>
          <w:p>
            <w:r>
              <w:rPr>
                <w:b w:val="false"/>
                <w:bCs w:val="false"/>
                <w:color w:val="221F1F"/>
                <w:sz w:val="20"/>
                <w:szCs w:val="20"/>
              </w:rPr>
              <w:t xml:space="preserve">76,6</w:t>
            </w:r>
          </w:p>
        </w:tc>
      </w:tr>
      <w:tr>
        <w:tc>
          <w:tcPr>
            <w:tcW w:type="dxa" w:w="3500"/>
            <w:shd w:fill="F7F7F7" w:val="clear"/>
            <w:tcMar>
              <w:top w:type="dxa" w:w="100"/>
              <w:left w:type="dxa" w:w="150"/>
              <w:bottom w:type="dxa" w:w="100"/>
              <w:right w:type="dxa" w:w="150"/>
            </w:tcMar>
            <w:vAlign w:val="center"/>
          </w:tcPr>
          <w:p>
            <w:r>
              <w:rPr>
                <w:b w:val="false"/>
                <w:bCs w:val="false"/>
                <w:color w:val="221F1F"/>
                <w:sz w:val="20"/>
                <w:szCs w:val="20"/>
              </w:rPr>
              <w:t xml:space="preserve">Dramas</w:t>
            </w:r>
          </w:p>
        </w:tc>
        <w:tc>
          <w:tcPr>
            <w:tcW w:type="dxa" w:w="2500"/>
            <w:shd w:fill="F7F7F7" w:val="clear"/>
            <w:tcMar>
              <w:top w:type="dxa" w:w="100"/>
              <w:left w:type="dxa" w:w="150"/>
              <w:bottom w:type="dxa" w:w="100"/>
              <w:right w:type="dxa" w:w="150"/>
            </w:tcMar>
            <w:vAlign w:val="center"/>
          </w:tcPr>
          <w:p>
            <w:r>
              <w:rPr>
                <w:b w:val="false"/>
                <w:bCs w:val="false"/>
                <w:color w:val="221F1F"/>
                <w:sz w:val="20"/>
                <w:szCs w:val="20"/>
              </w:rPr>
              <w:t xml:space="preserve">7</w:t>
            </w:r>
          </w:p>
        </w:tc>
        <w:tc>
          <w:tcPr>
            <w:tcW w:type="dxa" w:w="2000"/>
            <w:shd w:fill="F7F7F7" w:val="clear"/>
            <w:tcMar>
              <w:top w:type="dxa" w:w="100"/>
              <w:left w:type="dxa" w:w="150"/>
              <w:bottom w:type="dxa" w:w="100"/>
              <w:right w:type="dxa" w:w="150"/>
            </w:tcMar>
            <w:vAlign w:val="center"/>
          </w:tcPr>
          <w:p>
            <w:r>
              <w:rPr>
                <w:b w:val="false"/>
                <w:bCs w:val="false"/>
                <w:color w:val="221F1F"/>
                <w:sz w:val="20"/>
                <w:szCs w:val="20"/>
              </w:rPr>
              <w:t xml:space="preserve">77,1</w:t>
            </w:r>
          </w:p>
        </w:tc>
      </w:tr>
    </w:tbl>
    <w:p>
      <w:pPr>
        <w:spacing w:after="250"/>
      </w:pPr>
      <w:r>
        <w:rPr>
          <w:i/>
          <w:iCs/>
          <w:color w:val="555555"/>
          <w:sz w:val="18"/>
          <w:szCs w:val="18"/>
        </w:rPr>
        <w:t xml:space="preserve">Solo se incluyen géneros con al menos 5 títulos valorados, para evitar promedios poco representativos. Un título puede aparecer en más de un género (columna listed_in con varios valores), por lo que la suma de conteos por género no equivale al total de 136 títulos.</w:t>
      </w:r>
    </w:p>
    <w:p>
      <w:pPr>
        <w:spacing w:after="150"/>
      </w:pPr>
      <w:r>
        <w:rPr>
          <w:color w:val="221F1F"/>
          <w:sz w:val="21"/>
          <w:szCs w:val="21"/>
        </w:rPr>
        <w:t xml:space="preserve">Se observa un patrón claro: los géneros orientados a audiencia adulta con tramas serializadas (Romantic TV Shows, Sci-Fi &amp; Fantasy, Crime, Dramas de TV) tienen los promedios más altos, mientras que el contenido infantil (Kids' TV, Dramas genéricos) queda por debajo del promedio general (81,4). Esto sugiere que la valoración está más relacionada con el tipo de audiencia objetivo que con el volumen de contenido disponible.</w:t>
      </w:r>
    </w:p>
    <w:p>
      <w:pPr>
        <w:spacing w:after="250"/>
      </w:pPr>
      <w:r>
        <w:rPr>
          <w:i/>
          <w:iCs/>
          <w:color w:val="555555"/>
          <w:sz w:val="18"/>
          <w:szCs w:val="18"/>
        </w:rPr>
        <w:t xml:space="preserve">Este cruce no forma parte del pipeline original del proyecto (AnalizadorDatos no une ambos datasets); se calculó de forma adicional para este análisis, similar al caso de "género por período" de la sección 4.</w:t>
      </w:r>
    </w:p>
    <w:p>
      <w:pPr>
        <w:pStyle w:val="Heading1"/>
        <w:pBdr>
          <w:bottom w:val="single" w:color="B81D24" w:sz="12" w:space="4"/>
        </w:pBdr>
        <w:spacing w:after="200" w:before="400"/>
      </w:pPr>
      <w:r>
        <w:rPr>
          <w:b/>
          <w:bCs/>
          <w:color w:val="221F1F"/>
          <w:sz w:val="30"/>
          <w:szCs w:val="30"/>
        </w:rPr>
        <w:t xml:space="preserve">7. Síntesis</w:t>
      </w:r>
    </w:p>
    <w:p>
      <w:pPr>
        <w:spacing w:after="150"/>
      </w:pPr>
      <w:r>
        <w:rPr>
          <w:color w:val="221F1F"/>
          <w:sz w:val="21"/>
          <w:szCs w:val="21"/>
        </w:rPr>
        <w:t xml:space="preserve">En conjunto, estos hallazgos describen un catálogo dominado por películas, con audiencia mayormente madura (TV-MA/TV-14), producción concentrada en Estados Unidos, un giro editorial hacia contenido internacional a partir de 2016, un crecimiento acelerado con pico en 2019 y una desaceleración posterior, y una valoración de usuarios que varía claramente según el género: mejor en contenido serializado para adultos (romance, crimen, sci-fi) y más baja en contenido infantil.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9dd31cf5d4f816769c30dcb685516026492130.png"/><Relationship Id="rId8" Type="http://schemas.openxmlformats.org/officeDocument/2006/relationships/image" Target="media/ddbd82ce0c948409790576202ba6980844dbae85.png"/><Relationship Id="rId9" Type="http://schemas.openxmlformats.org/officeDocument/2006/relationships/image" Target="media/ed6cd95a4a0b5d73fdbf1a1000494ab02988b7a2.png"/><Relationship Id="rId10" Type="http://schemas.openxmlformats.org/officeDocument/2006/relationships/image" Target="media/bcee2b2d4d9f0ecd35be16c6d3ea1be6410a27dd.png"/><Relationship Id="rId11" Type="http://schemas.openxmlformats.org/officeDocument/2006/relationships/image" Target="media/7364959d20032ea3fa6889295eda10882e1766b7.png"/><Relationship Id="rId12" Type="http://schemas.openxmlformats.org/officeDocument/2006/relationships/image" Target="media/69505a241506d5eb4f52fc06dc2d16dd4f9c6df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2026-09-13T21:52:17.975Z</dcterms:created>
  <dcterms:modified xsi:type="dcterms:W3CDTF">2026-09-13T21:52:17.976Z</dcterms:modified>
</cp:coreProperties>
</file>

<file path=docProps/custom.xml><?xml version="1.0" encoding="utf-8"?>
<Properties xmlns="http://schemas.openxmlformats.org/officeDocument/2006/custom-properties" xmlns:vt="http://schemas.openxmlformats.org/officeDocument/2006/docPropsVTypes"/>
</file>