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5B6678"/>
          <w:sz w:val="20"/>
        </w:rPr>
        <w:t>CORPORACIÓN UNIVERSITARIA MINUTO DE DIOS · UNIMINUTO IBAGUÉ</w:t>
      </w:r>
    </w:p>
    <w:p>
      <w:pPr>
        <w:jc w:val="center"/>
      </w:pPr>
      <w:r>
        <w:rPr>
          <w:color w:val="5B6678"/>
          <w:sz w:val="20"/>
        </w:rPr>
        <w:t>Ingeniería de Sistemas · Minería de Datos · Sesión 5</w:t>
      </w:r>
    </w:p>
    <w:p/>
    <w:p/>
    <w:p>
      <w:pPr>
        <w:jc w:val="center"/>
      </w:pPr>
      <w:r>
        <w:rPr>
          <w:b/>
          <w:color w:val="2F4B8A"/>
          <w:sz w:val="60"/>
        </w:rPr>
        <w:t>Informe de laboratorio</w:t>
      </w:r>
    </w:p>
    <w:p>
      <w:pPr>
        <w:jc w:val="center"/>
      </w:pPr>
      <w:r>
        <w:rPr>
          <w:color w:val="1B2433"/>
          <w:sz w:val="32"/>
        </w:rPr>
        <w:t>Análisis exploratorio de datos (EDA) del catálogo de Netflix</w:t>
      </w:r>
    </w:p>
    <w:p>
      <w:pPr>
        <w:jc w:val="center"/>
      </w:pPr>
      <w:r>
        <w:rPr>
          <w:i/>
          <w:color w:val="5B6678"/>
          <w:sz w:val="22"/>
        </w:rPr>
        <w:t>Composición, llegada al catálogo, internacionalización y valoración de los títulos</w:t>
      </w:r>
    </w:p>
    <w:p/>
    <w:p/>
    <w:p/>
    <w:p>
      <w:pPr>
        <w:spacing w:after="20"/>
        <w:jc w:val="center"/>
      </w:pPr>
      <w:r>
        <w:rPr>
          <w:b/>
          <w:color w:val="5B6678"/>
          <w:sz w:val="22"/>
        </w:rPr>
        <w:t>Integrantes</w:t>
      </w:r>
    </w:p>
    <w:p>
      <w:pPr>
        <w:spacing w:after="20"/>
        <w:jc w:val="center"/>
      </w:pPr>
      <w:r>
        <w:rPr>
          <w:b w:val="0"/>
          <w:color w:val="1B2433"/>
          <w:sz w:val="22"/>
        </w:rPr>
        <w:t>James Francois Lozano Gordillo</w:t>
      </w:r>
    </w:p>
    <w:p>
      <w:pPr>
        <w:spacing w:after="20"/>
        <w:jc w:val="center"/>
      </w:pPr>
      <w:r>
        <w:rPr>
          <w:b w:val="0"/>
          <w:color w:val="1B2433"/>
          <w:sz w:val="22"/>
        </w:rPr>
        <w:t>Elian Alexis Sandoval Durán</w:t>
      </w:r>
    </w:p>
    <w:p>
      <w:pPr>
        <w:spacing w:after="20"/>
        <w:jc w:val="center"/>
      </w:pPr>
      <w:r>
        <w:rPr>
          <w:b w:val="0"/>
          <w:color w:val="1B2433"/>
          <w:sz w:val="22"/>
        </w:rPr>
      </w:r>
    </w:p>
    <w:p>
      <w:pPr>
        <w:spacing w:after="20"/>
        <w:jc w:val="center"/>
      </w:pPr>
      <w:r>
        <w:rPr>
          <w:b/>
          <w:color w:val="5B6678"/>
          <w:sz w:val="22"/>
        </w:rPr>
        <w:t>Docente</w:t>
      </w:r>
    </w:p>
    <w:p>
      <w:pPr>
        <w:spacing w:after="20"/>
        <w:jc w:val="center"/>
      </w:pPr>
      <w:r>
        <w:rPr>
          <w:b w:val="0"/>
          <w:color w:val="1B2433"/>
          <w:sz w:val="22"/>
        </w:rPr>
        <w:t>Esteban Ernesto Morales Castro</w:t>
      </w:r>
    </w:p>
    <w:p>
      <w:pPr>
        <w:spacing w:after="20"/>
        <w:jc w:val="center"/>
      </w:pPr>
      <w:r>
        <w:rPr>
          <w:b w:val="0"/>
          <w:color w:val="1B2433"/>
          <w:sz w:val="22"/>
        </w:rPr>
      </w:r>
    </w:p>
    <w:p>
      <w:pPr>
        <w:spacing w:after="20"/>
        <w:jc w:val="center"/>
      </w:pPr>
      <w:r>
        <w:rPr>
          <w:b/>
          <w:color w:val="5B6678"/>
          <w:sz w:val="22"/>
        </w:rPr>
        <w:t>Repositorio</w:t>
      </w:r>
    </w:p>
    <w:p>
      <w:pPr>
        <w:spacing w:after="20"/>
        <w:jc w:val="center"/>
      </w:pPr>
      <w:r>
        <w:rPr>
          <w:b w:val="0"/>
          <w:color w:val="1B2433"/>
          <w:sz w:val="22"/>
        </w:rPr>
        <w:t>github.com/JamesLozano1/Proyecto-Mineria-de-datos</w:t>
      </w:r>
    </w:p>
    <w:p>
      <w:pPr>
        <w:spacing w:after="20"/>
        <w:jc w:val="center"/>
      </w:pPr>
      <w:r>
        <w:rPr>
          <w:b w:val="0"/>
          <w:color w:val="1B2433"/>
          <w:sz w:val="22"/>
        </w:rPr>
      </w:r>
    </w:p>
    <w:p>
      <w:pPr>
        <w:spacing w:after="20"/>
        <w:jc w:val="center"/>
      </w:pPr>
      <w:r>
        <w:rPr>
          <w:b w:val="0"/>
          <w:color w:val="1B2433"/>
          <w:sz w:val="22"/>
        </w:rPr>
        <w:t>Ibagué · 2026-2</w:t>
      </w:r>
    </w:p>
    <w:p>
      <w:r>
        <w:br w:type="page"/>
      </w:r>
    </w:p>
    <w:p>
      <w:pPr>
        <w:pStyle w:val="Heading1"/>
      </w:pPr>
      <w:r>
        <w:t>Resumen</w:t>
      </w:r>
    </w:p>
    <w:p>
      <w:r>
        <w:rPr>
          <w:b w:val="0"/>
          <w:i w:val="0"/>
        </w:rPr>
        <w:t xml:space="preserve">Este informe explora el catálogo de Netflix (8.807 títulos) y un dataset de valoraciones de usuarios (256 puntuaciones válidas) con técnicas de estadística descriptiva y visualización. Sigue la estructura del instrumento de la sesión 5: contexto, calidad de datos, análisis univariado, análisis bivariado y multivariado, hallazgos con recomendaciones y anexos. El código completo y ejecutado está en el notebook </w:t>
      </w:r>
      <w:r>
        <w:rPr>
          <w:rFonts w:ascii="Consolas" w:hAnsi="Consolas"/>
          <w:b w:val="0"/>
          <w:i w:val="0"/>
          <w:sz w:val="19"/>
        </w:rPr>
        <w:t>eda_netflix.ipynb</w:t>
      </w:r>
      <w:r>
        <w:rPr>
          <w:b w:val="0"/>
          <w:i w:val="0"/>
        </w:rPr>
        <w:t>.</w:t>
      </w:r>
    </w:p>
    <w:p>
      <w:r>
        <w:rPr>
          <w:b/>
          <w:i w:val="0"/>
        </w:rPr>
        <w:t>Lo más importante:</w:t>
      </w:r>
      <w:r>
        <w:rPr>
          <w:b w:val="0"/>
          <w:i w:val="0"/>
        </w:rPr>
        <w:t xml:space="preserve"> Netflix pasó de un catálogo estadounidense a uno internacional; las series llegan casi estrenadas mientras las películas llegan con rezago; el ritmo de incorporación se frenó después de 2019; y la calidad de los datos de entrada cambió las cifras (88 fechas se perdían por un espacio inicial).</w:t>
      </w:r>
    </w:p>
    <w:p>
      <w:pPr>
        <w:pStyle w:val="Heading1"/>
      </w:pPr>
      <w:r>
        <w:t>1 · Portada y contexto</w:t>
      </w:r>
    </w:p>
    <w:p>
      <w:r>
        <w:rPr>
          <w:b/>
          <w:i w:val="0"/>
        </w:rPr>
        <w:t>Contexto.</w:t>
      </w:r>
      <w:r>
        <w:rPr>
          <w:b w:val="0"/>
          <w:i w:val="0"/>
        </w:rPr>
        <w:t xml:space="preserve"> Netflix publica un catálogo con miles de títulos. Trabajamos con dos fuentes: </w:t>
      </w:r>
      <w:r>
        <w:rPr>
          <w:rFonts w:ascii="Consolas" w:hAnsi="Consolas"/>
          <w:b w:val="0"/>
          <w:i w:val="0"/>
          <w:sz w:val="19"/>
        </w:rPr>
        <w:t>netflix_titles.csv</w:t>
      </w:r>
      <w:r>
        <w:rPr>
          <w:b w:val="0"/>
          <w:i w:val="0"/>
        </w:rPr>
        <w:t xml:space="preserve"> (8.807 títulos, 12 columnas) y </w:t>
      </w:r>
      <w:r>
        <w:rPr>
          <w:rFonts w:ascii="Consolas" w:hAnsi="Consolas"/>
          <w:b w:val="0"/>
          <w:i w:val="0"/>
          <w:sz w:val="19"/>
        </w:rPr>
        <w:t>netflix.csv</w:t>
      </w:r>
      <w:r>
        <w:rPr>
          <w:b w:val="0"/>
          <w:i w:val="0"/>
        </w:rPr>
        <w:t xml:space="preserve"> (1.000 registros de valoraciones de usuarios, 7 columnas, de los que quedan 500 tras eliminar duplicados). El pipeline Python del proyecto (</w:t>
      </w:r>
      <w:r>
        <w:rPr>
          <w:rFonts w:ascii="Consolas" w:hAnsi="Consolas"/>
          <w:b w:val="0"/>
          <w:i w:val="0"/>
          <w:sz w:val="19"/>
        </w:rPr>
        <w:t>LectorDatos</w:t>
      </w:r>
      <w:r>
        <w:rPr>
          <w:b w:val="0"/>
          <w:i w:val="0"/>
        </w:rPr>
        <w:t xml:space="preserve">, </w:t>
      </w:r>
      <w:r>
        <w:rPr>
          <w:rFonts w:ascii="Consolas" w:hAnsi="Consolas"/>
          <w:b w:val="0"/>
          <w:i w:val="0"/>
          <w:sz w:val="19"/>
        </w:rPr>
        <w:t>LimpiadorDatos</w:t>
      </w:r>
      <w:r>
        <w:rPr>
          <w:b w:val="0"/>
          <w:i w:val="0"/>
        </w:rPr>
        <w:t xml:space="preserve">, </w:t>
      </w:r>
      <w:r>
        <w:rPr>
          <w:rFonts w:ascii="Consolas" w:hAnsi="Consolas"/>
          <w:b w:val="0"/>
          <w:i w:val="0"/>
          <w:sz w:val="19"/>
        </w:rPr>
        <w:t>AnalizadorDatos</w:t>
      </w:r>
      <w:r>
        <w:rPr>
          <w:b w:val="0"/>
          <w:i w:val="0"/>
        </w:rPr>
        <w:t xml:space="preserve">, </w:t>
      </w:r>
      <w:r>
        <w:rPr>
          <w:rFonts w:ascii="Consolas" w:hAnsi="Consolas"/>
          <w:b w:val="0"/>
          <w:i w:val="0"/>
          <w:sz w:val="19"/>
        </w:rPr>
        <w:t>VisualizadorDatos</w:t>
      </w:r>
      <w:r>
        <w:rPr>
          <w:b w:val="0"/>
          <w:i w:val="0"/>
        </w:rPr>
        <w:t xml:space="preserve">, </w:t>
      </w:r>
      <w:r>
        <w:rPr>
          <w:rFonts w:ascii="Consolas" w:hAnsi="Consolas"/>
          <w:b w:val="0"/>
          <w:i w:val="0"/>
          <w:sz w:val="19"/>
        </w:rPr>
        <w:t>ExportadorDatos</w:t>
      </w:r>
      <w:r>
        <w:rPr>
          <w:b w:val="0"/>
          <w:i w:val="0"/>
        </w:rPr>
        <w:t>) ya entrega el dataset limpio; este informe lo explora.</w:t>
      </w:r>
    </w:p>
    <w:p>
      <w:r>
        <w:rPr>
          <w:b/>
          <w:i w:val="0"/>
        </w:rPr>
        <w:t>Pregunta de negocio.</w:t>
      </w:r>
      <w:r>
        <w:rPr>
          <w:b w:val="0"/>
          <w:i w:val="0"/>
        </w:rPr>
        <w:t xml:space="preserve"> ¿Cómo ha cambiado la composición del catálogo de Netflix con el tiempo, y qué distingue a los títulos que llegan más rápido a la plataforma, los de producción internacional y los mejor valorados por los usuarios?</w:t>
      </w:r>
    </w:p>
    <w:p>
      <w:r>
        <w:rPr>
          <w:b/>
          <w:i w:val="0"/>
        </w:rPr>
        <w:t>Objetivos del análisis</w:t>
      </w:r>
    </w:p>
    <w:p>
      <w:pPr>
        <w:pStyle w:val="ListNumber"/>
      </w:pPr>
      <w:r>
        <w:rPr>
          <w:b w:val="0"/>
          <w:i w:val="0"/>
        </w:rPr>
        <w:t>Evaluar la calidad de los datos (nulos, duplicados, outliers) y documentar las decisiones tomadas.</w:t>
      </w:r>
    </w:p>
    <w:p>
      <w:pPr>
        <w:pStyle w:val="ListNumber"/>
      </w:pPr>
      <w:r>
        <w:rPr>
          <w:b w:val="0"/>
          <w:i w:val="0"/>
        </w:rPr>
        <w:t>Describir cada variable numérica y categórica relevante (tendencia central, dispersión y forma).</w:t>
      </w:r>
    </w:p>
    <w:p>
      <w:pPr>
        <w:pStyle w:val="ListNumber"/>
      </w:pPr>
      <w:r>
        <w:rPr>
          <w:b w:val="0"/>
          <w:i w:val="0"/>
        </w:rPr>
        <w:t>Relacionar variables entre sí: tiempo de llegada al catálogo, tipo de contenido, país, clasificación, género y valoración.</w:t>
      </w:r>
    </w:p>
    <w:p>
      <w:pPr>
        <w:pStyle w:val="ListNumber"/>
      </w:pPr>
      <w:r>
        <w:rPr>
          <w:b w:val="0"/>
          <w:i w:val="0"/>
        </w:rPr>
        <w:t>Formular y validar con datos hipótesis sobre el crecimiento, la internacionalización y la valoración.</w:t>
      </w:r>
    </w:p>
    <w:p>
      <w:r>
        <w:rPr>
          <w:b/>
          <w:i w:val="0"/>
        </w:rPr>
        <w:t>Variable de segmentación.</w:t>
      </w:r>
      <w:r>
        <w:rPr>
          <w:b w:val="0"/>
          <w:i w:val="0"/>
        </w:rPr>
        <w:t xml:space="preserve"> El dataset no tiene una variable objetivo supervisada. Usamos </w:t>
      </w:r>
      <w:r>
        <w:rPr>
          <w:rFonts w:ascii="Consolas" w:hAnsi="Consolas"/>
          <w:b w:val="0"/>
          <w:i w:val="0"/>
          <w:sz w:val="19"/>
        </w:rPr>
        <w:t>type</w:t>
      </w:r>
      <w:r>
        <w:rPr>
          <w:b w:val="0"/>
          <w:i w:val="0"/>
        </w:rPr>
        <w:t xml:space="preserve"> (película o serie) como variable de cruce principal y </w:t>
      </w:r>
      <w:r>
        <w:rPr>
          <w:rFonts w:ascii="Consolas" w:hAnsi="Consolas"/>
          <w:b w:val="0"/>
          <w:i w:val="0"/>
          <w:sz w:val="19"/>
        </w:rPr>
        <w:t>user_rating_score</w:t>
      </w:r>
      <w:r>
        <w:rPr>
          <w:b w:val="0"/>
          <w:i w:val="0"/>
        </w:rPr>
        <w:t xml:space="preserve"> como resultado de interés en el análisis de valoraciones.</w:t>
      </w:r>
    </w:p>
    <w:p>
      <w:pPr>
        <w:pStyle w:val="Heading1"/>
      </w:pPr>
      <w:r>
        <w:t>2 · Calidad de datos</w:t>
      </w:r>
    </w:p>
    <w:p>
      <w:r>
        <w:rPr>
          <w:b/>
          <w:i w:val="0"/>
        </w:rPr>
        <w:t>Valores nulos · Catálogo (netflix_titles.csv)</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3744"/>
        <w:gridCol w:w="1728"/>
        <w:gridCol w:w="1728"/>
      </w:tblGrid>
      <w:tr>
        <w:trPr>
          <w:cantSplit/>
        </w:trPr>
        <w:tc>
          <w:tcPr>
            <w:tcW w:type="dxa" w:w="3744"/>
            <w:shd w:val="clear" w:color="auto" w:fill="2F4B8A"/>
          </w:tcPr>
          <w:p>
            <w:pPr>
              <w:spacing w:after="0"/>
            </w:pPr>
            <w:r/>
            <w:r>
              <w:rPr>
                <w:b/>
                <w:i w:val="0"/>
                <w:color w:val="FFFFFF"/>
                <w:sz w:val="17"/>
              </w:rPr>
              <w:t>Columna</w:t>
            </w:r>
          </w:p>
        </w:tc>
        <w:tc>
          <w:tcPr>
            <w:tcW w:type="dxa" w:w="1728"/>
            <w:shd w:val="clear" w:color="auto" w:fill="2F4B8A"/>
          </w:tcPr>
          <w:p>
            <w:r/>
            <w:r>
              <w:rPr>
                <w:b/>
                <w:i w:val="0"/>
                <w:color w:val="FFFFFF"/>
                <w:sz w:val="17"/>
              </w:rPr>
              <w:t>Nulos</w:t>
            </w:r>
          </w:p>
        </w:tc>
        <w:tc>
          <w:tcPr>
            <w:tcW w:type="dxa" w:w="1728"/>
            <w:shd w:val="clear" w:color="auto" w:fill="2F4B8A"/>
          </w:tcPr>
          <w:p>
            <w:r/>
            <w:r>
              <w:rPr>
                <w:b/>
                <w:i w:val="0"/>
                <w:color w:val="FFFFFF"/>
                <w:sz w:val="17"/>
              </w:rPr>
              <w:t>% del total</w:t>
            </w:r>
          </w:p>
        </w:tc>
      </w:tr>
      <w:tr>
        <w:trPr>
          <w:cantSplit/>
        </w:trPr>
        <w:tc>
          <w:tcPr>
            <w:tcW w:type="dxa" w:w="3744"/>
          </w:tcPr>
          <w:p>
            <w:pPr>
              <w:spacing w:after="0"/>
            </w:pPr>
            <w:r/>
            <w:r>
              <w:rPr>
                <w:b w:val="0"/>
                <w:i w:val="0"/>
                <w:sz w:val="17"/>
              </w:rPr>
              <w:t>director</w:t>
            </w:r>
          </w:p>
        </w:tc>
        <w:tc>
          <w:tcPr>
            <w:tcW w:type="dxa" w:w="1728"/>
          </w:tcPr>
          <w:p>
            <w:pPr>
              <w:spacing w:after="0"/>
              <w:jc w:val="right"/>
            </w:pPr>
            <w:r/>
            <w:r>
              <w:rPr>
                <w:b w:val="0"/>
                <w:i w:val="0"/>
                <w:sz w:val="17"/>
              </w:rPr>
              <w:t>2.634</w:t>
            </w:r>
          </w:p>
        </w:tc>
        <w:tc>
          <w:tcPr>
            <w:tcW w:type="dxa" w:w="1728"/>
          </w:tcPr>
          <w:p>
            <w:pPr>
              <w:spacing w:after="0"/>
              <w:jc w:val="right"/>
            </w:pPr>
            <w:r/>
            <w:r>
              <w:rPr>
                <w:b w:val="0"/>
                <w:i w:val="0"/>
                <w:sz w:val="17"/>
              </w:rPr>
              <w:t>29,9%</w:t>
            </w:r>
          </w:p>
        </w:tc>
      </w:tr>
      <w:tr>
        <w:trPr>
          <w:cantSplit/>
        </w:trPr>
        <w:tc>
          <w:tcPr>
            <w:tcW w:type="dxa" w:w="3744"/>
            <w:shd w:val="clear" w:color="auto" w:fill="F2F4F8"/>
          </w:tcPr>
          <w:p>
            <w:pPr>
              <w:spacing w:after="0"/>
            </w:pPr>
            <w:r/>
            <w:r>
              <w:rPr>
                <w:b w:val="0"/>
                <w:i w:val="0"/>
                <w:sz w:val="17"/>
              </w:rPr>
              <w:t>cast</w:t>
            </w:r>
          </w:p>
        </w:tc>
        <w:tc>
          <w:tcPr>
            <w:tcW w:type="dxa" w:w="1728"/>
            <w:shd w:val="clear" w:color="auto" w:fill="F2F4F8"/>
          </w:tcPr>
          <w:p>
            <w:pPr>
              <w:spacing w:after="0"/>
              <w:jc w:val="right"/>
            </w:pPr>
            <w:r/>
            <w:r>
              <w:rPr>
                <w:b w:val="0"/>
                <w:i w:val="0"/>
                <w:sz w:val="17"/>
              </w:rPr>
              <w:t>825</w:t>
            </w:r>
          </w:p>
        </w:tc>
        <w:tc>
          <w:tcPr>
            <w:tcW w:type="dxa" w:w="1728"/>
            <w:shd w:val="clear" w:color="auto" w:fill="F2F4F8"/>
          </w:tcPr>
          <w:p>
            <w:pPr>
              <w:spacing w:after="0"/>
              <w:jc w:val="right"/>
            </w:pPr>
            <w:r/>
            <w:r>
              <w:rPr>
                <w:b w:val="0"/>
                <w:i w:val="0"/>
                <w:sz w:val="17"/>
              </w:rPr>
              <w:t>9,4%</w:t>
            </w:r>
          </w:p>
        </w:tc>
      </w:tr>
      <w:tr>
        <w:trPr>
          <w:cantSplit/>
        </w:trPr>
        <w:tc>
          <w:tcPr>
            <w:tcW w:type="dxa" w:w="3744"/>
          </w:tcPr>
          <w:p>
            <w:pPr>
              <w:spacing w:after="0"/>
            </w:pPr>
            <w:r/>
            <w:r>
              <w:rPr>
                <w:b w:val="0"/>
                <w:i w:val="0"/>
                <w:sz w:val="17"/>
              </w:rPr>
              <w:t>country</w:t>
            </w:r>
          </w:p>
        </w:tc>
        <w:tc>
          <w:tcPr>
            <w:tcW w:type="dxa" w:w="1728"/>
          </w:tcPr>
          <w:p>
            <w:pPr>
              <w:spacing w:after="0"/>
              <w:jc w:val="right"/>
            </w:pPr>
            <w:r/>
            <w:r>
              <w:rPr>
                <w:b w:val="0"/>
                <w:i w:val="0"/>
                <w:sz w:val="17"/>
              </w:rPr>
              <w:t>831</w:t>
            </w:r>
          </w:p>
        </w:tc>
        <w:tc>
          <w:tcPr>
            <w:tcW w:type="dxa" w:w="1728"/>
          </w:tcPr>
          <w:p>
            <w:pPr>
              <w:spacing w:after="0"/>
              <w:jc w:val="right"/>
            </w:pPr>
            <w:r/>
            <w:r>
              <w:rPr>
                <w:b w:val="0"/>
                <w:i w:val="0"/>
                <w:sz w:val="17"/>
              </w:rPr>
              <w:t>9,4%</w:t>
            </w:r>
          </w:p>
        </w:tc>
      </w:tr>
      <w:tr>
        <w:trPr>
          <w:cantSplit/>
        </w:trPr>
        <w:tc>
          <w:tcPr>
            <w:tcW w:type="dxa" w:w="3744"/>
            <w:shd w:val="clear" w:color="auto" w:fill="F2F4F8"/>
          </w:tcPr>
          <w:p>
            <w:pPr>
              <w:spacing w:after="0"/>
            </w:pPr>
            <w:r/>
            <w:r>
              <w:rPr>
                <w:b w:val="0"/>
                <w:i w:val="0"/>
                <w:sz w:val="17"/>
              </w:rPr>
              <w:t>date_added</w:t>
            </w:r>
          </w:p>
        </w:tc>
        <w:tc>
          <w:tcPr>
            <w:tcW w:type="dxa" w:w="1728"/>
            <w:shd w:val="clear" w:color="auto" w:fill="F2F4F8"/>
          </w:tcPr>
          <w:p>
            <w:pPr>
              <w:spacing w:after="0"/>
              <w:jc w:val="right"/>
            </w:pPr>
            <w:r/>
            <w:r>
              <w:rPr>
                <w:b w:val="0"/>
                <w:i w:val="0"/>
                <w:sz w:val="17"/>
              </w:rPr>
              <w:t>10</w:t>
            </w:r>
          </w:p>
        </w:tc>
        <w:tc>
          <w:tcPr>
            <w:tcW w:type="dxa" w:w="1728"/>
            <w:shd w:val="clear" w:color="auto" w:fill="F2F4F8"/>
          </w:tcPr>
          <w:p>
            <w:pPr>
              <w:spacing w:after="0"/>
              <w:jc w:val="right"/>
            </w:pPr>
            <w:r/>
            <w:r>
              <w:rPr>
                <w:b w:val="0"/>
                <w:i w:val="0"/>
                <w:sz w:val="17"/>
              </w:rPr>
              <w:t>0,1%</w:t>
            </w:r>
          </w:p>
        </w:tc>
      </w:tr>
      <w:tr>
        <w:trPr>
          <w:cantSplit/>
        </w:trPr>
        <w:tc>
          <w:tcPr>
            <w:tcW w:type="dxa" w:w="3744"/>
          </w:tcPr>
          <w:p>
            <w:pPr>
              <w:spacing w:after="0"/>
            </w:pPr>
            <w:r/>
            <w:r>
              <w:rPr>
                <w:b w:val="0"/>
                <w:i w:val="0"/>
                <w:sz w:val="17"/>
              </w:rPr>
              <w:t>rating</w:t>
            </w:r>
          </w:p>
        </w:tc>
        <w:tc>
          <w:tcPr>
            <w:tcW w:type="dxa" w:w="1728"/>
          </w:tcPr>
          <w:p>
            <w:pPr>
              <w:spacing w:after="0"/>
              <w:jc w:val="right"/>
            </w:pPr>
            <w:r/>
            <w:r>
              <w:rPr>
                <w:b w:val="0"/>
                <w:i w:val="0"/>
                <w:sz w:val="17"/>
              </w:rPr>
              <w:t>4</w:t>
            </w:r>
          </w:p>
        </w:tc>
        <w:tc>
          <w:tcPr>
            <w:tcW w:type="dxa" w:w="1728"/>
          </w:tcPr>
          <w:p>
            <w:pPr>
              <w:spacing w:after="0"/>
              <w:jc w:val="right"/>
            </w:pPr>
            <w:r/>
            <w:r>
              <w:rPr>
                <w:b w:val="0"/>
                <w:i w:val="0"/>
                <w:sz w:val="17"/>
              </w:rPr>
              <w:t>0,0%</w:t>
            </w:r>
          </w:p>
        </w:tc>
      </w:tr>
      <w:tr>
        <w:trPr>
          <w:cantSplit/>
        </w:trPr>
        <w:tc>
          <w:tcPr>
            <w:tcW w:type="dxa" w:w="3744"/>
            <w:shd w:val="clear" w:color="auto" w:fill="F2F4F8"/>
          </w:tcPr>
          <w:p>
            <w:pPr>
              <w:spacing w:after="0"/>
            </w:pPr>
            <w:r/>
            <w:r>
              <w:rPr>
                <w:b w:val="0"/>
                <w:i w:val="0"/>
                <w:sz w:val="17"/>
              </w:rPr>
              <w:t>duration</w:t>
            </w:r>
          </w:p>
        </w:tc>
        <w:tc>
          <w:tcPr>
            <w:tcW w:type="dxa" w:w="1728"/>
            <w:shd w:val="clear" w:color="auto" w:fill="F2F4F8"/>
          </w:tcPr>
          <w:p>
            <w:pPr>
              <w:spacing w:after="0"/>
              <w:jc w:val="right"/>
            </w:pPr>
            <w:r/>
            <w:r>
              <w:rPr>
                <w:b w:val="0"/>
                <w:i w:val="0"/>
                <w:sz w:val="17"/>
              </w:rPr>
              <w:t>3</w:t>
            </w:r>
          </w:p>
        </w:tc>
        <w:tc>
          <w:tcPr>
            <w:tcW w:type="dxa" w:w="1728"/>
            <w:shd w:val="clear" w:color="auto" w:fill="F2F4F8"/>
          </w:tcPr>
          <w:p>
            <w:pPr>
              <w:spacing w:after="0"/>
              <w:jc w:val="right"/>
            </w:pPr>
            <w:r/>
            <w:r>
              <w:rPr>
                <w:b w:val="0"/>
                <w:i w:val="0"/>
                <w:sz w:val="17"/>
              </w:rPr>
              <w:t>0,0%</w:t>
            </w:r>
          </w:p>
        </w:tc>
      </w:tr>
    </w:tbl>
    <w:p>
      <w:pPr>
        <w:spacing w:after="40"/>
      </w:pPr>
    </w:p>
    <w:p>
      <w:r>
        <w:rPr>
          <w:b/>
          <w:i w:val="0"/>
        </w:rPr>
        <w:t>Valores nulos · Valoraciones (netflix.csv)</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3744"/>
        <w:gridCol w:w="1728"/>
        <w:gridCol w:w="1728"/>
      </w:tblGrid>
      <w:tr>
        <w:trPr>
          <w:cantSplit/>
        </w:trPr>
        <w:tc>
          <w:tcPr>
            <w:tcW w:type="dxa" w:w="3744"/>
            <w:shd w:val="clear" w:color="auto" w:fill="2F4B8A"/>
          </w:tcPr>
          <w:p>
            <w:pPr>
              <w:spacing w:after="0"/>
            </w:pPr>
            <w:r/>
            <w:r>
              <w:rPr>
                <w:b/>
                <w:i w:val="0"/>
                <w:color w:val="FFFFFF"/>
                <w:sz w:val="17"/>
              </w:rPr>
              <w:t>Columna</w:t>
            </w:r>
          </w:p>
        </w:tc>
        <w:tc>
          <w:tcPr>
            <w:tcW w:type="dxa" w:w="1728"/>
            <w:shd w:val="clear" w:color="auto" w:fill="2F4B8A"/>
          </w:tcPr>
          <w:p>
            <w:r/>
            <w:r>
              <w:rPr>
                <w:b/>
                <w:i w:val="0"/>
                <w:color w:val="FFFFFF"/>
                <w:sz w:val="17"/>
              </w:rPr>
              <w:t>Nulos</w:t>
            </w:r>
          </w:p>
        </w:tc>
        <w:tc>
          <w:tcPr>
            <w:tcW w:type="dxa" w:w="1728"/>
            <w:shd w:val="clear" w:color="auto" w:fill="2F4B8A"/>
          </w:tcPr>
          <w:p>
            <w:r/>
            <w:r>
              <w:rPr>
                <w:b/>
                <w:i w:val="0"/>
                <w:color w:val="FFFFFF"/>
                <w:sz w:val="17"/>
              </w:rPr>
              <w:t>% del total</w:t>
            </w:r>
          </w:p>
        </w:tc>
      </w:tr>
      <w:tr>
        <w:trPr>
          <w:cantSplit/>
        </w:trPr>
        <w:tc>
          <w:tcPr>
            <w:tcW w:type="dxa" w:w="3744"/>
          </w:tcPr>
          <w:p>
            <w:pPr>
              <w:spacing w:after="0"/>
            </w:pPr>
            <w:r/>
            <w:r>
              <w:rPr>
                <w:b w:val="0"/>
                <w:i w:val="0"/>
                <w:sz w:val="17"/>
              </w:rPr>
              <w:t>ratingdescription</w:t>
            </w:r>
          </w:p>
        </w:tc>
        <w:tc>
          <w:tcPr>
            <w:tcW w:type="dxa" w:w="1728"/>
          </w:tcPr>
          <w:p>
            <w:pPr>
              <w:spacing w:after="0"/>
              <w:jc w:val="right"/>
            </w:pPr>
            <w:r/>
            <w:r>
              <w:rPr>
                <w:b w:val="0"/>
                <w:i w:val="0"/>
                <w:sz w:val="17"/>
              </w:rPr>
              <w:t>59</w:t>
            </w:r>
          </w:p>
        </w:tc>
        <w:tc>
          <w:tcPr>
            <w:tcW w:type="dxa" w:w="1728"/>
          </w:tcPr>
          <w:p>
            <w:pPr>
              <w:spacing w:after="0"/>
              <w:jc w:val="right"/>
            </w:pPr>
            <w:r/>
            <w:r>
              <w:rPr>
                <w:b w:val="0"/>
                <w:i w:val="0"/>
                <w:sz w:val="17"/>
              </w:rPr>
              <w:t>5,9%</w:t>
            </w:r>
          </w:p>
        </w:tc>
      </w:tr>
      <w:tr>
        <w:trPr>
          <w:cantSplit/>
        </w:trPr>
        <w:tc>
          <w:tcPr>
            <w:tcW w:type="dxa" w:w="3744"/>
            <w:shd w:val="clear" w:color="auto" w:fill="F2F4F8"/>
          </w:tcPr>
          <w:p>
            <w:pPr>
              <w:spacing w:after="0"/>
            </w:pPr>
            <w:r/>
            <w:r>
              <w:rPr>
                <w:b w:val="0"/>
                <w:i w:val="0"/>
                <w:sz w:val="17"/>
              </w:rPr>
              <w:t>user_rating_score</w:t>
            </w:r>
          </w:p>
        </w:tc>
        <w:tc>
          <w:tcPr>
            <w:tcW w:type="dxa" w:w="1728"/>
            <w:shd w:val="clear" w:color="auto" w:fill="F2F4F8"/>
          </w:tcPr>
          <w:p>
            <w:pPr>
              <w:spacing w:after="0"/>
              <w:jc w:val="right"/>
            </w:pPr>
            <w:r/>
            <w:r>
              <w:rPr>
                <w:b w:val="0"/>
                <w:i w:val="0"/>
                <w:sz w:val="17"/>
              </w:rPr>
              <w:t>395</w:t>
            </w:r>
          </w:p>
        </w:tc>
        <w:tc>
          <w:tcPr>
            <w:tcW w:type="dxa" w:w="1728"/>
            <w:shd w:val="clear" w:color="auto" w:fill="F2F4F8"/>
          </w:tcPr>
          <w:p>
            <w:pPr>
              <w:spacing w:after="0"/>
              <w:jc w:val="right"/>
            </w:pPr>
            <w:r/>
            <w:r>
              <w:rPr>
                <w:b w:val="0"/>
                <w:i w:val="0"/>
                <w:sz w:val="17"/>
              </w:rPr>
              <w:t>39,5%</w:t>
            </w:r>
          </w:p>
        </w:tc>
      </w:tr>
    </w:tbl>
    <w:p>
      <w:pPr>
        <w:spacing w:after="40"/>
      </w:pPr>
    </w:p>
    <w:p>
      <w:r>
        <w:rPr>
          <w:b/>
          <w:i w:val="0"/>
        </w:rPr>
        <w:t>Duplicados exactos:</w:t>
      </w:r>
      <w:r>
        <w:rPr>
          <w:b w:val="0"/>
          <w:i w:val="0"/>
        </w:rPr>
        <w:t xml:space="preserve"> catálogo 0 · valoraciones 500 de 1.000 (50%).</w:t>
      </w:r>
    </w:p>
    <w:p>
      <w:r>
        <w:rPr>
          <w:b/>
          <w:i w:val="0"/>
        </w:rPr>
        <w:t>Fechas date_added:</w:t>
      </w:r>
      <w:r>
        <w:rPr>
          <w:b w:val="0"/>
          <w:i w:val="0"/>
        </w:rPr>
        <w:t xml:space="preserve"> el CSV original tiene 10 nulos reales, pero al convertir sin </w:t>
      </w:r>
      <w:r>
        <w:rPr>
          <w:rFonts w:ascii="Consolas" w:hAnsi="Consolas"/>
          <w:b w:val="0"/>
          <w:i w:val="0"/>
          <w:sz w:val="19"/>
        </w:rPr>
        <w:t>strip()</w:t>
      </w:r>
      <w:r>
        <w:rPr>
          <w:b w:val="0"/>
          <w:i w:val="0"/>
        </w:rPr>
        <w:t xml:space="preserve"> quedaban 98: se perdían </w:t>
      </w:r>
      <w:r>
        <w:rPr>
          <w:b/>
          <w:i w:val="0"/>
        </w:rPr>
        <w:t>88 fechas válidas</w:t>
      </w:r>
      <w:r>
        <w:rPr>
          <w:b w:val="0"/>
          <w:i w:val="0"/>
        </w:rPr>
        <w:t xml:space="preserve"> por un espacio inicial (por ejemplo </w:t>
      </w:r>
      <w:r>
        <w:rPr>
          <w:rFonts w:ascii="Consolas" w:hAnsi="Consolas"/>
          <w:b w:val="0"/>
          <w:i w:val="0"/>
          <w:sz w:val="19"/>
        </w:rPr>
        <w:t>" August 4, 2017"</w:t>
      </w:r>
      <w:r>
        <w:rPr>
          <w:b w:val="0"/>
          <w:i w:val="0"/>
        </w:rPr>
        <w:t>).</w:t>
      </w:r>
    </w:p>
    <w:p>
      <w:r>
        <w:rPr>
          <w:b/>
          <w:i w:val="0"/>
        </w:rPr>
        <w:t>Ratings sospechosos</w:t>
      </w:r>
      <w:r>
        <w:rPr>
          <w:b w:val="0"/>
          <w:i w:val="0"/>
        </w:rPr>
        <w:t xml:space="preserve"> (la duración quedó guardada en la columna </w:t>
      </w:r>
      <w:r>
        <w:rPr>
          <w:rFonts w:ascii="Consolas" w:hAnsi="Consolas"/>
          <w:b w:val="0"/>
          <w:i w:val="0"/>
          <w:sz w:val="19"/>
        </w:rPr>
        <w:t>rating</w:t>
      </w:r>
      <w:r>
        <w:rPr>
          <w:b w:val="0"/>
          <w:i w:val="0"/>
        </w:rPr>
        <w:t>):</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4752"/>
        <w:gridCol w:w="1728"/>
        <w:gridCol w:w="2160"/>
      </w:tblGrid>
      <w:tr>
        <w:trPr>
          <w:cantSplit/>
        </w:trPr>
        <w:tc>
          <w:tcPr>
            <w:tcW w:type="dxa" w:w="4752"/>
            <w:shd w:val="clear" w:color="auto" w:fill="2F4B8A"/>
          </w:tcPr>
          <w:p>
            <w:pPr>
              <w:spacing w:after="0"/>
            </w:pPr>
            <w:r/>
            <w:r>
              <w:rPr>
                <w:b/>
                <w:i w:val="0"/>
                <w:color w:val="FFFFFF"/>
                <w:sz w:val="17"/>
              </w:rPr>
              <w:t>Título</w:t>
            </w:r>
          </w:p>
        </w:tc>
        <w:tc>
          <w:tcPr>
            <w:tcW w:type="dxa" w:w="1728"/>
            <w:shd w:val="clear" w:color="auto" w:fill="2F4B8A"/>
          </w:tcPr>
          <w:p>
            <w:r/>
            <w:r>
              <w:rPr>
                <w:b/>
                <w:i w:val="0"/>
                <w:color w:val="FFFFFF"/>
                <w:sz w:val="17"/>
              </w:rPr>
              <w:t>Tipo</w:t>
            </w:r>
          </w:p>
        </w:tc>
        <w:tc>
          <w:tcPr>
            <w:tcW w:type="dxa" w:w="2160"/>
            <w:shd w:val="clear" w:color="auto" w:fill="2F4B8A"/>
          </w:tcPr>
          <w:p>
            <w:r/>
            <w:r>
              <w:rPr>
                <w:b/>
                <w:i w:val="0"/>
                <w:color w:val="FFFFFF"/>
                <w:sz w:val="17"/>
              </w:rPr>
              <w:t xml:space="preserve">Valor en </w:t>
            </w:r>
            <w:r>
              <w:rPr>
                <w:rFonts w:ascii="Consolas" w:hAnsi="Consolas"/>
                <w:b/>
                <w:i w:val="0"/>
                <w:color w:val="FFFFFF"/>
                <w:sz w:val="15"/>
              </w:rPr>
              <w:t>rating</w:t>
            </w:r>
          </w:p>
        </w:tc>
      </w:tr>
      <w:tr>
        <w:trPr>
          <w:cantSplit/>
        </w:trPr>
        <w:tc>
          <w:tcPr>
            <w:tcW w:type="dxa" w:w="4752"/>
          </w:tcPr>
          <w:p>
            <w:pPr>
              <w:spacing w:after="0"/>
            </w:pPr>
            <w:r/>
            <w:r>
              <w:rPr>
                <w:b w:val="0"/>
                <w:i w:val="0"/>
                <w:sz w:val="17"/>
              </w:rPr>
              <w:t>Louis C.K. 2017</w:t>
            </w:r>
          </w:p>
        </w:tc>
        <w:tc>
          <w:tcPr>
            <w:tcW w:type="dxa" w:w="1728"/>
          </w:tcPr>
          <w:p>
            <w:pPr>
              <w:spacing w:after="0"/>
            </w:pPr>
            <w:r/>
            <w:r>
              <w:rPr>
                <w:b w:val="0"/>
                <w:i w:val="0"/>
                <w:sz w:val="17"/>
              </w:rPr>
              <w:t>Movie</w:t>
            </w:r>
          </w:p>
        </w:tc>
        <w:tc>
          <w:tcPr>
            <w:tcW w:type="dxa" w:w="2160"/>
          </w:tcPr>
          <w:p>
            <w:pPr>
              <w:spacing w:after="0"/>
            </w:pPr>
            <w:r/>
            <w:r>
              <w:rPr>
                <w:b w:val="0"/>
                <w:i w:val="0"/>
                <w:sz w:val="17"/>
              </w:rPr>
              <w:t>74 min</w:t>
            </w:r>
          </w:p>
        </w:tc>
      </w:tr>
      <w:tr>
        <w:trPr>
          <w:cantSplit/>
        </w:trPr>
        <w:tc>
          <w:tcPr>
            <w:tcW w:type="dxa" w:w="4752"/>
            <w:shd w:val="clear" w:color="auto" w:fill="F2F4F8"/>
          </w:tcPr>
          <w:p>
            <w:pPr>
              <w:spacing w:after="0"/>
            </w:pPr>
            <w:r/>
            <w:r>
              <w:rPr>
                <w:b w:val="0"/>
                <w:i w:val="0"/>
                <w:sz w:val="17"/>
              </w:rPr>
              <w:t>Louis C.K.: Hilarious</w:t>
            </w:r>
          </w:p>
        </w:tc>
        <w:tc>
          <w:tcPr>
            <w:tcW w:type="dxa" w:w="1728"/>
            <w:shd w:val="clear" w:color="auto" w:fill="F2F4F8"/>
          </w:tcPr>
          <w:p>
            <w:pPr>
              <w:spacing w:after="0"/>
            </w:pPr>
            <w:r/>
            <w:r>
              <w:rPr>
                <w:b w:val="0"/>
                <w:i w:val="0"/>
                <w:sz w:val="17"/>
              </w:rPr>
              <w:t>Movie</w:t>
            </w:r>
          </w:p>
        </w:tc>
        <w:tc>
          <w:tcPr>
            <w:tcW w:type="dxa" w:w="2160"/>
            <w:shd w:val="clear" w:color="auto" w:fill="F2F4F8"/>
          </w:tcPr>
          <w:p>
            <w:pPr>
              <w:spacing w:after="0"/>
            </w:pPr>
            <w:r/>
            <w:r>
              <w:rPr>
                <w:b w:val="0"/>
                <w:i w:val="0"/>
                <w:sz w:val="17"/>
              </w:rPr>
              <w:t>84 min</w:t>
            </w:r>
          </w:p>
        </w:tc>
      </w:tr>
      <w:tr>
        <w:trPr>
          <w:cantSplit/>
        </w:trPr>
        <w:tc>
          <w:tcPr>
            <w:tcW w:type="dxa" w:w="4752"/>
          </w:tcPr>
          <w:p>
            <w:pPr>
              <w:spacing w:after="0"/>
            </w:pPr>
            <w:r/>
            <w:r>
              <w:rPr>
                <w:b w:val="0"/>
                <w:i w:val="0"/>
                <w:sz w:val="17"/>
              </w:rPr>
              <w:t>Louis C.K.: Live at the Comedy Store</w:t>
            </w:r>
          </w:p>
        </w:tc>
        <w:tc>
          <w:tcPr>
            <w:tcW w:type="dxa" w:w="1728"/>
          </w:tcPr>
          <w:p>
            <w:pPr>
              <w:spacing w:after="0"/>
            </w:pPr>
            <w:r/>
            <w:r>
              <w:rPr>
                <w:b w:val="0"/>
                <w:i w:val="0"/>
                <w:sz w:val="17"/>
              </w:rPr>
              <w:t>Movie</w:t>
            </w:r>
          </w:p>
        </w:tc>
        <w:tc>
          <w:tcPr>
            <w:tcW w:type="dxa" w:w="2160"/>
          </w:tcPr>
          <w:p>
            <w:pPr>
              <w:spacing w:after="0"/>
            </w:pPr>
            <w:r/>
            <w:r>
              <w:rPr>
                <w:b w:val="0"/>
                <w:i w:val="0"/>
                <w:sz w:val="17"/>
              </w:rPr>
              <w:t>66 min</w:t>
            </w:r>
          </w:p>
        </w:tc>
      </w:tr>
    </w:tbl>
    <w:p>
      <w:pPr>
        <w:spacing w:after="40"/>
      </w:pPr>
    </w:p>
    <w:p>
      <w:r>
        <w:rPr>
          <w:b/>
          <w:i w:val="0"/>
        </w:rPr>
        <w:t>Outliers por la regla del IQR</w:t>
      </w:r>
      <w:r>
        <w:rPr>
          <w:b w:val="0"/>
          <w:i w:val="0"/>
        </w:rPr>
        <w:t xml:space="preserve"> (fuera de [Q1 − 1,5·IQR, Q3 + 1,5·IQR]):</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3312"/>
        <w:gridCol w:w="864"/>
        <w:gridCol w:w="720"/>
        <w:gridCol w:w="720"/>
        <w:gridCol w:w="1008"/>
        <w:gridCol w:w="1008"/>
        <w:gridCol w:w="936"/>
        <w:gridCol w:w="1008"/>
      </w:tblGrid>
      <w:tr>
        <w:trPr>
          <w:cantSplit/>
        </w:trPr>
        <w:tc>
          <w:tcPr>
            <w:tcW w:type="dxa" w:w="3312"/>
            <w:shd w:val="clear" w:color="auto" w:fill="2F4B8A"/>
          </w:tcPr>
          <w:p>
            <w:pPr>
              <w:spacing w:after="0"/>
            </w:pPr>
            <w:r/>
            <w:r>
              <w:rPr>
                <w:b/>
                <w:i w:val="0"/>
                <w:color w:val="FFFFFF"/>
                <w:sz w:val="16"/>
              </w:rPr>
              <w:t>Variable</w:t>
            </w:r>
          </w:p>
        </w:tc>
        <w:tc>
          <w:tcPr>
            <w:tcW w:type="dxa" w:w="864"/>
            <w:shd w:val="clear" w:color="auto" w:fill="2F4B8A"/>
          </w:tcPr>
          <w:p>
            <w:r/>
            <w:r>
              <w:rPr>
                <w:b/>
                <w:i w:val="0"/>
                <w:color w:val="FFFFFF"/>
                <w:sz w:val="16"/>
              </w:rPr>
              <w:t>n</w:t>
            </w:r>
          </w:p>
        </w:tc>
        <w:tc>
          <w:tcPr>
            <w:tcW w:type="dxa" w:w="720"/>
            <w:shd w:val="clear" w:color="auto" w:fill="2F4B8A"/>
          </w:tcPr>
          <w:p>
            <w:r/>
            <w:r>
              <w:rPr>
                <w:b/>
                <w:i w:val="0"/>
                <w:color w:val="FFFFFF"/>
                <w:sz w:val="16"/>
              </w:rPr>
              <w:t>Q1</w:t>
            </w:r>
          </w:p>
        </w:tc>
        <w:tc>
          <w:tcPr>
            <w:tcW w:type="dxa" w:w="720"/>
            <w:shd w:val="clear" w:color="auto" w:fill="2F4B8A"/>
          </w:tcPr>
          <w:p>
            <w:r/>
            <w:r>
              <w:rPr>
                <w:b/>
                <w:i w:val="0"/>
                <w:color w:val="FFFFFF"/>
                <w:sz w:val="16"/>
              </w:rPr>
              <w:t>Q3</w:t>
            </w:r>
          </w:p>
        </w:tc>
        <w:tc>
          <w:tcPr>
            <w:tcW w:type="dxa" w:w="1008"/>
            <w:shd w:val="clear" w:color="auto" w:fill="2F4B8A"/>
          </w:tcPr>
          <w:p>
            <w:r/>
            <w:r>
              <w:rPr>
                <w:b/>
                <w:i w:val="0"/>
                <w:color w:val="FFFFFF"/>
                <w:sz w:val="16"/>
              </w:rPr>
              <w:t>Lím. inf.</w:t>
            </w:r>
          </w:p>
        </w:tc>
        <w:tc>
          <w:tcPr>
            <w:tcW w:type="dxa" w:w="1008"/>
            <w:shd w:val="clear" w:color="auto" w:fill="2F4B8A"/>
          </w:tcPr>
          <w:p>
            <w:r/>
            <w:r>
              <w:rPr>
                <w:b/>
                <w:i w:val="0"/>
                <w:color w:val="FFFFFF"/>
                <w:sz w:val="16"/>
              </w:rPr>
              <w:t>Lím. sup.</w:t>
            </w:r>
          </w:p>
        </w:tc>
        <w:tc>
          <w:tcPr>
            <w:tcW w:type="dxa" w:w="936"/>
            <w:shd w:val="clear" w:color="auto" w:fill="2F4B8A"/>
          </w:tcPr>
          <w:p>
            <w:r/>
            <w:r>
              <w:rPr>
                <w:b/>
                <w:i w:val="0"/>
                <w:color w:val="FFFFFF"/>
                <w:sz w:val="16"/>
              </w:rPr>
              <w:t>Outliers</w:t>
            </w:r>
          </w:p>
        </w:tc>
        <w:tc>
          <w:tcPr>
            <w:tcW w:type="dxa" w:w="1008"/>
            <w:shd w:val="clear" w:color="auto" w:fill="2F4B8A"/>
          </w:tcPr>
          <w:p>
            <w:r/>
            <w:r>
              <w:rPr>
                <w:b/>
                <w:i w:val="0"/>
                <w:color w:val="FFFFFF"/>
                <w:sz w:val="16"/>
              </w:rPr>
              <w:t>% outliers</w:t>
            </w:r>
          </w:p>
        </w:tc>
      </w:tr>
      <w:tr>
        <w:trPr>
          <w:cantSplit/>
        </w:trPr>
        <w:tc>
          <w:tcPr>
            <w:tcW w:type="dxa" w:w="3312"/>
          </w:tcPr>
          <w:p>
            <w:pPr>
              <w:spacing w:after="0"/>
            </w:pPr>
            <w:r/>
            <w:r>
              <w:rPr>
                <w:b w:val="0"/>
                <w:i w:val="0"/>
                <w:sz w:val="16"/>
              </w:rPr>
              <w:t>release_year</w:t>
            </w:r>
          </w:p>
        </w:tc>
        <w:tc>
          <w:tcPr>
            <w:tcW w:type="dxa" w:w="864"/>
          </w:tcPr>
          <w:p>
            <w:pPr>
              <w:spacing w:after="0"/>
              <w:jc w:val="right"/>
            </w:pPr>
            <w:r/>
            <w:r>
              <w:rPr>
                <w:b w:val="0"/>
                <w:i w:val="0"/>
                <w:sz w:val="16"/>
              </w:rPr>
              <w:t>8.807</w:t>
            </w:r>
          </w:p>
        </w:tc>
        <w:tc>
          <w:tcPr>
            <w:tcW w:type="dxa" w:w="720"/>
          </w:tcPr>
          <w:p>
            <w:pPr>
              <w:spacing w:after="0"/>
              <w:jc w:val="right"/>
            </w:pPr>
            <w:r/>
            <w:r>
              <w:rPr>
                <w:b w:val="0"/>
                <w:i w:val="0"/>
                <w:sz w:val="16"/>
              </w:rPr>
              <w:t>2013,0</w:t>
            </w:r>
          </w:p>
        </w:tc>
        <w:tc>
          <w:tcPr>
            <w:tcW w:type="dxa" w:w="720"/>
          </w:tcPr>
          <w:p>
            <w:pPr>
              <w:spacing w:after="0"/>
              <w:jc w:val="right"/>
            </w:pPr>
            <w:r/>
            <w:r>
              <w:rPr>
                <w:b w:val="0"/>
                <w:i w:val="0"/>
                <w:sz w:val="16"/>
              </w:rPr>
              <w:t>2019,0</w:t>
            </w:r>
          </w:p>
        </w:tc>
        <w:tc>
          <w:tcPr>
            <w:tcW w:type="dxa" w:w="1008"/>
          </w:tcPr>
          <w:p>
            <w:pPr>
              <w:spacing w:after="0"/>
              <w:jc w:val="right"/>
            </w:pPr>
            <w:r/>
            <w:r>
              <w:rPr>
                <w:b w:val="0"/>
                <w:i w:val="0"/>
                <w:sz w:val="16"/>
              </w:rPr>
              <w:t>2004,0</w:t>
            </w:r>
          </w:p>
        </w:tc>
        <w:tc>
          <w:tcPr>
            <w:tcW w:type="dxa" w:w="1008"/>
          </w:tcPr>
          <w:p>
            <w:pPr>
              <w:spacing w:after="0"/>
              <w:jc w:val="right"/>
            </w:pPr>
            <w:r/>
            <w:r>
              <w:rPr>
                <w:b w:val="0"/>
                <w:i w:val="0"/>
                <w:sz w:val="16"/>
              </w:rPr>
              <w:t>2028,0</w:t>
            </w:r>
          </w:p>
        </w:tc>
        <w:tc>
          <w:tcPr>
            <w:tcW w:type="dxa" w:w="936"/>
          </w:tcPr>
          <w:p>
            <w:pPr>
              <w:spacing w:after="0"/>
              <w:jc w:val="right"/>
            </w:pPr>
            <w:r/>
            <w:r>
              <w:rPr>
                <w:b w:val="0"/>
                <w:i w:val="0"/>
                <w:sz w:val="16"/>
              </w:rPr>
              <w:t>719</w:t>
            </w:r>
          </w:p>
        </w:tc>
        <w:tc>
          <w:tcPr>
            <w:tcW w:type="dxa" w:w="1008"/>
          </w:tcPr>
          <w:p>
            <w:pPr>
              <w:spacing w:after="0"/>
              <w:jc w:val="right"/>
            </w:pPr>
            <w:r/>
            <w:r>
              <w:rPr>
                <w:b w:val="0"/>
                <w:i w:val="0"/>
                <w:sz w:val="16"/>
              </w:rPr>
              <w:t>8,2%</w:t>
            </w:r>
          </w:p>
        </w:tc>
      </w:tr>
      <w:tr>
        <w:trPr>
          <w:cantSplit/>
        </w:trPr>
        <w:tc>
          <w:tcPr>
            <w:tcW w:type="dxa" w:w="3312"/>
            <w:shd w:val="clear" w:color="auto" w:fill="F2F4F8"/>
          </w:tcPr>
          <w:p>
            <w:pPr>
              <w:spacing w:after="0"/>
            </w:pPr>
            <w:r/>
            <w:r>
              <w:rPr>
                <w:b w:val="0"/>
                <w:i w:val="0"/>
                <w:sz w:val="16"/>
              </w:rPr>
              <w:t>durationValue (películas, min)</w:t>
            </w:r>
          </w:p>
        </w:tc>
        <w:tc>
          <w:tcPr>
            <w:tcW w:type="dxa" w:w="864"/>
            <w:shd w:val="clear" w:color="auto" w:fill="F2F4F8"/>
          </w:tcPr>
          <w:p>
            <w:pPr>
              <w:spacing w:after="0"/>
              <w:jc w:val="right"/>
            </w:pPr>
            <w:r/>
            <w:r>
              <w:rPr>
                <w:b w:val="0"/>
                <w:i w:val="0"/>
                <w:sz w:val="16"/>
              </w:rPr>
              <w:t>6.131</w:t>
            </w:r>
          </w:p>
        </w:tc>
        <w:tc>
          <w:tcPr>
            <w:tcW w:type="dxa" w:w="720"/>
            <w:shd w:val="clear" w:color="auto" w:fill="F2F4F8"/>
          </w:tcPr>
          <w:p>
            <w:pPr>
              <w:spacing w:after="0"/>
              <w:jc w:val="right"/>
            </w:pPr>
            <w:r/>
            <w:r>
              <w:rPr>
                <w:b w:val="0"/>
                <w:i w:val="0"/>
                <w:sz w:val="16"/>
              </w:rPr>
              <w:t>87,0</w:t>
            </w:r>
          </w:p>
        </w:tc>
        <w:tc>
          <w:tcPr>
            <w:tcW w:type="dxa" w:w="720"/>
            <w:shd w:val="clear" w:color="auto" w:fill="F2F4F8"/>
          </w:tcPr>
          <w:p>
            <w:pPr>
              <w:spacing w:after="0"/>
              <w:jc w:val="right"/>
            </w:pPr>
            <w:r/>
            <w:r>
              <w:rPr>
                <w:b w:val="0"/>
                <w:i w:val="0"/>
                <w:sz w:val="16"/>
              </w:rPr>
              <w:t>114,0</w:t>
            </w:r>
          </w:p>
        </w:tc>
        <w:tc>
          <w:tcPr>
            <w:tcW w:type="dxa" w:w="1008"/>
            <w:shd w:val="clear" w:color="auto" w:fill="F2F4F8"/>
          </w:tcPr>
          <w:p>
            <w:pPr>
              <w:spacing w:after="0"/>
              <w:jc w:val="right"/>
            </w:pPr>
            <w:r/>
            <w:r>
              <w:rPr>
                <w:b w:val="0"/>
                <w:i w:val="0"/>
                <w:sz w:val="16"/>
              </w:rPr>
              <w:t>46,5</w:t>
            </w:r>
          </w:p>
        </w:tc>
        <w:tc>
          <w:tcPr>
            <w:tcW w:type="dxa" w:w="1008"/>
            <w:shd w:val="clear" w:color="auto" w:fill="F2F4F8"/>
          </w:tcPr>
          <w:p>
            <w:pPr>
              <w:spacing w:after="0"/>
              <w:jc w:val="right"/>
            </w:pPr>
            <w:r/>
            <w:r>
              <w:rPr>
                <w:b w:val="0"/>
                <w:i w:val="0"/>
                <w:sz w:val="16"/>
              </w:rPr>
              <w:t>154,5</w:t>
            </w:r>
          </w:p>
        </w:tc>
        <w:tc>
          <w:tcPr>
            <w:tcW w:type="dxa" w:w="936"/>
            <w:shd w:val="clear" w:color="auto" w:fill="F2F4F8"/>
          </w:tcPr>
          <w:p>
            <w:pPr>
              <w:spacing w:after="0"/>
              <w:jc w:val="right"/>
            </w:pPr>
            <w:r/>
            <w:r>
              <w:rPr>
                <w:b w:val="0"/>
                <w:i w:val="0"/>
                <w:sz w:val="16"/>
              </w:rPr>
              <w:t>450</w:t>
            </w:r>
          </w:p>
        </w:tc>
        <w:tc>
          <w:tcPr>
            <w:tcW w:type="dxa" w:w="1008"/>
            <w:shd w:val="clear" w:color="auto" w:fill="F2F4F8"/>
          </w:tcPr>
          <w:p>
            <w:pPr>
              <w:spacing w:after="0"/>
              <w:jc w:val="right"/>
            </w:pPr>
            <w:r/>
            <w:r>
              <w:rPr>
                <w:b w:val="0"/>
                <w:i w:val="0"/>
                <w:sz w:val="16"/>
              </w:rPr>
              <w:t>7,3%</w:t>
            </w:r>
          </w:p>
        </w:tc>
      </w:tr>
      <w:tr>
        <w:trPr>
          <w:cantSplit/>
        </w:trPr>
        <w:tc>
          <w:tcPr>
            <w:tcW w:type="dxa" w:w="3312"/>
          </w:tcPr>
          <w:p>
            <w:pPr>
              <w:spacing w:after="0"/>
            </w:pPr>
            <w:r/>
            <w:r>
              <w:rPr>
                <w:b w:val="0"/>
                <w:i w:val="0"/>
                <w:sz w:val="16"/>
              </w:rPr>
              <w:t>durationValue (series, temporadas)</w:t>
            </w:r>
          </w:p>
        </w:tc>
        <w:tc>
          <w:tcPr>
            <w:tcW w:type="dxa" w:w="864"/>
          </w:tcPr>
          <w:p>
            <w:pPr>
              <w:spacing w:after="0"/>
              <w:jc w:val="right"/>
            </w:pPr>
            <w:r/>
            <w:r>
              <w:rPr>
                <w:b w:val="0"/>
                <w:i w:val="0"/>
                <w:sz w:val="16"/>
              </w:rPr>
              <w:t>2.676</w:t>
            </w:r>
          </w:p>
        </w:tc>
        <w:tc>
          <w:tcPr>
            <w:tcW w:type="dxa" w:w="720"/>
          </w:tcPr>
          <w:p>
            <w:pPr>
              <w:spacing w:after="0"/>
              <w:jc w:val="right"/>
            </w:pPr>
            <w:r/>
            <w:r>
              <w:rPr>
                <w:b w:val="0"/>
                <w:i w:val="0"/>
                <w:sz w:val="16"/>
              </w:rPr>
              <w:t>1,0</w:t>
            </w:r>
          </w:p>
        </w:tc>
        <w:tc>
          <w:tcPr>
            <w:tcW w:type="dxa" w:w="720"/>
          </w:tcPr>
          <w:p>
            <w:pPr>
              <w:spacing w:after="0"/>
              <w:jc w:val="right"/>
            </w:pPr>
            <w:r/>
            <w:r>
              <w:rPr>
                <w:b w:val="0"/>
                <w:i w:val="0"/>
                <w:sz w:val="16"/>
              </w:rPr>
              <w:t>2,0</w:t>
            </w:r>
          </w:p>
        </w:tc>
        <w:tc>
          <w:tcPr>
            <w:tcW w:type="dxa" w:w="1008"/>
          </w:tcPr>
          <w:p>
            <w:pPr>
              <w:spacing w:after="0"/>
              <w:jc w:val="right"/>
            </w:pPr>
            <w:r/>
            <w:r>
              <w:rPr>
                <w:b w:val="0"/>
                <w:i w:val="0"/>
                <w:sz w:val="16"/>
              </w:rPr>
              <w:t>-0,5</w:t>
            </w:r>
          </w:p>
        </w:tc>
        <w:tc>
          <w:tcPr>
            <w:tcW w:type="dxa" w:w="1008"/>
          </w:tcPr>
          <w:p>
            <w:pPr>
              <w:spacing w:after="0"/>
              <w:jc w:val="right"/>
            </w:pPr>
            <w:r/>
            <w:r>
              <w:rPr>
                <w:b w:val="0"/>
                <w:i w:val="0"/>
                <w:sz w:val="16"/>
              </w:rPr>
              <w:t>3,5</w:t>
            </w:r>
          </w:p>
        </w:tc>
        <w:tc>
          <w:tcPr>
            <w:tcW w:type="dxa" w:w="936"/>
          </w:tcPr>
          <w:p>
            <w:pPr>
              <w:spacing w:after="0"/>
              <w:jc w:val="right"/>
            </w:pPr>
            <w:r/>
            <w:r>
              <w:rPr>
                <w:b w:val="0"/>
                <w:i w:val="0"/>
                <w:sz w:val="16"/>
              </w:rPr>
              <w:t>259</w:t>
            </w:r>
          </w:p>
        </w:tc>
        <w:tc>
          <w:tcPr>
            <w:tcW w:type="dxa" w:w="1008"/>
          </w:tcPr>
          <w:p>
            <w:pPr>
              <w:spacing w:after="0"/>
              <w:jc w:val="right"/>
            </w:pPr>
            <w:r/>
            <w:r>
              <w:rPr>
                <w:b w:val="0"/>
                <w:i w:val="0"/>
                <w:sz w:val="16"/>
              </w:rPr>
              <w:t>9,7%</w:t>
            </w:r>
          </w:p>
        </w:tc>
      </w:tr>
      <w:tr>
        <w:trPr>
          <w:cantSplit/>
        </w:trPr>
        <w:tc>
          <w:tcPr>
            <w:tcW w:type="dxa" w:w="3312"/>
            <w:shd w:val="clear" w:color="auto" w:fill="F2F4F8"/>
          </w:tcPr>
          <w:p>
            <w:pPr>
              <w:spacing w:after="0"/>
            </w:pPr>
            <w:r/>
            <w:r>
              <w:rPr>
                <w:b w:val="0"/>
                <w:i w:val="0"/>
                <w:sz w:val="16"/>
              </w:rPr>
              <w:t>added_year</w:t>
            </w:r>
          </w:p>
        </w:tc>
        <w:tc>
          <w:tcPr>
            <w:tcW w:type="dxa" w:w="864"/>
            <w:shd w:val="clear" w:color="auto" w:fill="F2F4F8"/>
          </w:tcPr>
          <w:p>
            <w:pPr>
              <w:spacing w:after="0"/>
              <w:jc w:val="right"/>
            </w:pPr>
            <w:r/>
            <w:r>
              <w:rPr>
                <w:b w:val="0"/>
                <w:i w:val="0"/>
                <w:sz w:val="16"/>
              </w:rPr>
              <w:t>8.797</w:t>
            </w:r>
          </w:p>
        </w:tc>
        <w:tc>
          <w:tcPr>
            <w:tcW w:type="dxa" w:w="720"/>
            <w:shd w:val="clear" w:color="auto" w:fill="F2F4F8"/>
          </w:tcPr>
          <w:p>
            <w:pPr>
              <w:spacing w:after="0"/>
              <w:jc w:val="right"/>
            </w:pPr>
            <w:r/>
            <w:r>
              <w:rPr>
                <w:b w:val="0"/>
                <w:i w:val="0"/>
                <w:sz w:val="16"/>
              </w:rPr>
              <w:t>2018,0</w:t>
            </w:r>
          </w:p>
        </w:tc>
        <w:tc>
          <w:tcPr>
            <w:tcW w:type="dxa" w:w="720"/>
            <w:shd w:val="clear" w:color="auto" w:fill="F2F4F8"/>
          </w:tcPr>
          <w:p>
            <w:pPr>
              <w:spacing w:after="0"/>
              <w:jc w:val="right"/>
            </w:pPr>
            <w:r/>
            <w:r>
              <w:rPr>
                <w:b w:val="0"/>
                <w:i w:val="0"/>
                <w:sz w:val="16"/>
              </w:rPr>
              <w:t>2020,0</w:t>
            </w:r>
          </w:p>
        </w:tc>
        <w:tc>
          <w:tcPr>
            <w:tcW w:type="dxa" w:w="1008"/>
            <w:shd w:val="clear" w:color="auto" w:fill="F2F4F8"/>
          </w:tcPr>
          <w:p>
            <w:pPr>
              <w:spacing w:after="0"/>
              <w:jc w:val="right"/>
            </w:pPr>
            <w:r/>
            <w:r>
              <w:rPr>
                <w:b w:val="0"/>
                <w:i w:val="0"/>
                <w:sz w:val="16"/>
              </w:rPr>
              <w:t>2015,0</w:t>
            </w:r>
          </w:p>
        </w:tc>
        <w:tc>
          <w:tcPr>
            <w:tcW w:type="dxa" w:w="1008"/>
            <w:shd w:val="clear" w:color="auto" w:fill="F2F4F8"/>
          </w:tcPr>
          <w:p>
            <w:pPr>
              <w:spacing w:after="0"/>
              <w:jc w:val="right"/>
            </w:pPr>
            <w:r/>
            <w:r>
              <w:rPr>
                <w:b w:val="0"/>
                <w:i w:val="0"/>
                <w:sz w:val="16"/>
              </w:rPr>
              <w:t>2023,0</w:t>
            </w:r>
          </w:p>
        </w:tc>
        <w:tc>
          <w:tcPr>
            <w:tcW w:type="dxa" w:w="936"/>
            <w:shd w:val="clear" w:color="auto" w:fill="F2F4F8"/>
          </w:tcPr>
          <w:p>
            <w:pPr>
              <w:spacing w:after="0"/>
              <w:jc w:val="right"/>
            </w:pPr>
            <w:r/>
            <w:r>
              <w:rPr>
                <w:b w:val="0"/>
                <w:i w:val="0"/>
                <w:sz w:val="16"/>
              </w:rPr>
              <w:t>56</w:t>
            </w:r>
          </w:p>
        </w:tc>
        <w:tc>
          <w:tcPr>
            <w:tcW w:type="dxa" w:w="1008"/>
            <w:shd w:val="clear" w:color="auto" w:fill="F2F4F8"/>
          </w:tcPr>
          <w:p>
            <w:pPr>
              <w:spacing w:after="0"/>
              <w:jc w:val="right"/>
            </w:pPr>
            <w:r/>
            <w:r>
              <w:rPr>
                <w:b w:val="0"/>
                <w:i w:val="0"/>
                <w:sz w:val="16"/>
              </w:rPr>
              <w:t>0,6%</w:t>
            </w:r>
          </w:p>
        </w:tc>
      </w:tr>
      <w:tr>
        <w:trPr>
          <w:cantSplit/>
        </w:trPr>
        <w:tc>
          <w:tcPr>
            <w:tcW w:type="dxa" w:w="3312"/>
          </w:tcPr>
          <w:p>
            <w:pPr>
              <w:spacing w:after="0"/>
            </w:pPr>
            <w:r/>
            <w:r>
              <w:rPr>
                <w:b w:val="0"/>
                <w:i w:val="0"/>
                <w:sz w:val="16"/>
              </w:rPr>
              <w:t>antiguedad_al_agregar (años)</w:t>
            </w:r>
          </w:p>
        </w:tc>
        <w:tc>
          <w:tcPr>
            <w:tcW w:type="dxa" w:w="864"/>
          </w:tcPr>
          <w:p>
            <w:pPr>
              <w:spacing w:after="0"/>
              <w:jc w:val="right"/>
            </w:pPr>
            <w:r/>
            <w:r>
              <w:rPr>
                <w:b w:val="0"/>
                <w:i w:val="0"/>
                <w:sz w:val="16"/>
              </w:rPr>
              <w:t>8.797</w:t>
            </w:r>
          </w:p>
        </w:tc>
        <w:tc>
          <w:tcPr>
            <w:tcW w:type="dxa" w:w="720"/>
          </w:tcPr>
          <w:p>
            <w:pPr>
              <w:spacing w:after="0"/>
              <w:jc w:val="right"/>
            </w:pPr>
            <w:r/>
            <w:r>
              <w:rPr>
                <w:b w:val="0"/>
                <w:i w:val="0"/>
                <w:sz w:val="16"/>
              </w:rPr>
              <w:t>0,0</w:t>
            </w:r>
          </w:p>
        </w:tc>
        <w:tc>
          <w:tcPr>
            <w:tcW w:type="dxa" w:w="720"/>
          </w:tcPr>
          <w:p>
            <w:pPr>
              <w:spacing w:after="0"/>
              <w:jc w:val="right"/>
            </w:pPr>
            <w:r/>
            <w:r>
              <w:rPr>
                <w:b w:val="0"/>
                <w:i w:val="0"/>
                <w:sz w:val="16"/>
              </w:rPr>
              <w:t>5,0</w:t>
            </w:r>
          </w:p>
        </w:tc>
        <w:tc>
          <w:tcPr>
            <w:tcW w:type="dxa" w:w="1008"/>
          </w:tcPr>
          <w:p>
            <w:pPr>
              <w:spacing w:after="0"/>
              <w:jc w:val="right"/>
            </w:pPr>
            <w:r/>
            <w:r>
              <w:rPr>
                <w:b w:val="0"/>
                <w:i w:val="0"/>
                <w:sz w:val="16"/>
              </w:rPr>
              <w:t>-7,5</w:t>
            </w:r>
          </w:p>
        </w:tc>
        <w:tc>
          <w:tcPr>
            <w:tcW w:type="dxa" w:w="1008"/>
          </w:tcPr>
          <w:p>
            <w:pPr>
              <w:spacing w:after="0"/>
              <w:jc w:val="right"/>
            </w:pPr>
            <w:r/>
            <w:r>
              <w:rPr>
                <w:b w:val="0"/>
                <w:i w:val="0"/>
                <w:sz w:val="16"/>
              </w:rPr>
              <w:t>12,5</w:t>
            </w:r>
          </w:p>
        </w:tc>
        <w:tc>
          <w:tcPr>
            <w:tcW w:type="dxa" w:w="936"/>
          </w:tcPr>
          <w:p>
            <w:pPr>
              <w:spacing w:after="0"/>
              <w:jc w:val="right"/>
            </w:pPr>
            <w:r/>
            <w:r>
              <w:rPr>
                <w:b w:val="0"/>
                <w:i w:val="0"/>
                <w:sz w:val="16"/>
              </w:rPr>
              <w:t>972</w:t>
            </w:r>
          </w:p>
        </w:tc>
        <w:tc>
          <w:tcPr>
            <w:tcW w:type="dxa" w:w="1008"/>
          </w:tcPr>
          <w:p>
            <w:pPr>
              <w:spacing w:after="0"/>
              <w:jc w:val="right"/>
            </w:pPr>
            <w:r/>
            <w:r>
              <w:rPr>
                <w:b w:val="0"/>
                <w:i w:val="0"/>
                <w:sz w:val="16"/>
              </w:rPr>
              <w:t>11,0%</w:t>
            </w:r>
          </w:p>
        </w:tc>
      </w:tr>
      <w:tr>
        <w:trPr>
          <w:cantSplit/>
        </w:trPr>
        <w:tc>
          <w:tcPr>
            <w:tcW w:type="dxa" w:w="3312"/>
            <w:shd w:val="clear" w:color="auto" w:fill="F2F4F8"/>
          </w:tcPr>
          <w:p>
            <w:pPr>
              <w:spacing w:after="0"/>
            </w:pPr>
            <w:r/>
            <w:r>
              <w:rPr>
                <w:b w:val="0"/>
                <w:i w:val="0"/>
                <w:sz w:val="16"/>
              </w:rPr>
              <w:t>user_rating_score</w:t>
            </w:r>
          </w:p>
        </w:tc>
        <w:tc>
          <w:tcPr>
            <w:tcW w:type="dxa" w:w="864"/>
            <w:shd w:val="clear" w:color="auto" w:fill="F2F4F8"/>
          </w:tcPr>
          <w:p>
            <w:pPr>
              <w:spacing w:after="0"/>
              <w:jc w:val="right"/>
            </w:pPr>
            <w:r/>
            <w:r>
              <w:rPr>
                <w:b w:val="0"/>
                <w:i w:val="0"/>
                <w:sz w:val="16"/>
              </w:rPr>
              <w:t>256</w:t>
            </w:r>
          </w:p>
        </w:tc>
        <w:tc>
          <w:tcPr>
            <w:tcW w:type="dxa" w:w="720"/>
            <w:shd w:val="clear" w:color="auto" w:fill="F2F4F8"/>
          </w:tcPr>
          <w:p>
            <w:pPr>
              <w:spacing w:after="0"/>
              <w:jc w:val="right"/>
            </w:pPr>
            <w:r/>
            <w:r>
              <w:rPr>
                <w:b w:val="0"/>
                <w:i w:val="0"/>
                <w:sz w:val="16"/>
              </w:rPr>
              <w:t>71,0</w:t>
            </w:r>
          </w:p>
        </w:tc>
        <w:tc>
          <w:tcPr>
            <w:tcW w:type="dxa" w:w="720"/>
            <w:shd w:val="clear" w:color="auto" w:fill="F2F4F8"/>
          </w:tcPr>
          <w:p>
            <w:pPr>
              <w:spacing w:after="0"/>
              <w:jc w:val="right"/>
            </w:pPr>
            <w:r/>
            <w:r>
              <w:rPr>
                <w:b w:val="0"/>
                <w:i w:val="0"/>
                <w:sz w:val="16"/>
              </w:rPr>
              <w:t>93,0</w:t>
            </w:r>
          </w:p>
        </w:tc>
        <w:tc>
          <w:tcPr>
            <w:tcW w:type="dxa" w:w="1008"/>
            <w:shd w:val="clear" w:color="auto" w:fill="F2F4F8"/>
          </w:tcPr>
          <w:p>
            <w:pPr>
              <w:spacing w:after="0"/>
              <w:jc w:val="right"/>
            </w:pPr>
            <w:r/>
            <w:r>
              <w:rPr>
                <w:b w:val="0"/>
                <w:i w:val="0"/>
                <w:sz w:val="16"/>
              </w:rPr>
              <w:t>38,0</w:t>
            </w:r>
          </w:p>
        </w:tc>
        <w:tc>
          <w:tcPr>
            <w:tcW w:type="dxa" w:w="1008"/>
            <w:shd w:val="clear" w:color="auto" w:fill="F2F4F8"/>
          </w:tcPr>
          <w:p>
            <w:pPr>
              <w:spacing w:after="0"/>
              <w:jc w:val="right"/>
            </w:pPr>
            <w:r/>
            <w:r>
              <w:rPr>
                <w:b w:val="0"/>
                <w:i w:val="0"/>
                <w:sz w:val="16"/>
              </w:rPr>
              <w:t>126,0</w:t>
            </w:r>
          </w:p>
        </w:tc>
        <w:tc>
          <w:tcPr>
            <w:tcW w:type="dxa" w:w="936"/>
            <w:shd w:val="clear" w:color="auto" w:fill="F2F4F8"/>
          </w:tcPr>
          <w:p>
            <w:pPr>
              <w:spacing w:after="0"/>
              <w:jc w:val="right"/>
            </w:pPr>
            <w:r/>
            <w:r>
              <w:rPr>
                <w:b w:val="0"/>
                <w:i w:val="0"/>
                <w:sz w:val="16"/>
              </w:rPr>
              <w:t>0</w:t>
            </w:r>
          </w:p>
        </w:tc>
        <w:tc>
          <w:tcPr>
            <w:tcW w:type="dxa" w:w="1008"/>
            <w:shd w:val="clear" w:color="auto" w:fill="F2F4F8"/>
          </w:tcPr>
          <w:p>
            <w:pPr>
              <w:spacing w:after="0"/>
              <w:jc w:val="right"/>
            </w:pPr>
            <w:r/>
            <w:r>
              <w:rPr>
                <w:b w:val="0"/>
                <w:i w:val="0"/>
                <w:sz w:val="16"/>
              </w:rPr>
              <w:t>0,0%</w:t>
            </w:r>
          </w:p>
        </w:tc>
      </w:tr>
    </w:tbl>
    <w:p>
      <w:pPr>
        <w:spacing w:after="40"/>
      </w:pPr>
    </w:p>
    <w:p>
      <w:r>
        <w:rPr>
          <w:b/>
          <w:i w:val="0"/>
        </w:rPr>
        <w:t>Decisiones tomadas (herencia de las sesiones 3 y 4)</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2448"/>
        <w:gridCol w:w="3456"/>
        <w:gridCol w:w="3600"/>
      </w:tblGrid>
      <w:tr>
        <w:trPr>
          <w:cantSplit/>
        </w:trPr>
        <w:tc>
          <w:tcPr>
            <w:tcW w:type="dxa" w:w="2448"/>
            <w:shd w:val="clear" w:color="auto" w:fill="2F4B8A"/>
          </w:tcPr>
          <w:p>
            <w:pPr>
              <w:spacing w:after="0"/>
            </w:pPr>
            <w:r/>
            <w:r>
              <w:rPr>
                <w:b/>
                <w:i w:val="0"/>
                <w:color w:val="FFFFFF"/>
                <w:sz w:val="17"/>
              </w:rPr>
              <w:t>Problema</w:t>
            </w:r>
          </w:p>
        </w:tc>
        <w:tc>
          <w:tcPr>
            <w:tcW w:type="dxa" w:w="3456"/>
            <w:shd w:val="clear" w:color="auto" w:fill="2F4B8A"/>
          </w:tcPr>
          <w:p>
            <w:r/>
            <w:r>
              <w:rPr>
                <w:b/>
                <w:i w:val="0"/>
                <w:color w:val="FFFFFF"/>
                <w:sz w:val="17"/>
              </w:rPr>
              <w:t>Evidencia</w:t>
            </w:r>
          </w:p>
        </w:tc>
        <w:tc>
          <w:tcPr>
            <w:tcW w:type="dxa" w:w="3600"/>
            <w:shd w:val="clear" w:color="auto" w:fill="2F4B8A"/>
          </w:tcPr>
          <w:p>
            <w:r/>
            <w:r>
              <w:rPr>
                <w:b/>
                <w:i w:val="0"/>
                <w:color w:val="FFFFFF"/>
                <w:sz w:val="17"/>
              </w:rPr>
              <w:t>Decisión</w:t>
            </w:r>
          </w:p>
        </w:tc>
      </w:tr>
      <w:tr>
        <w:trPr>
          <w:cantSplit/>
        </w:trPr>
        <w:tc>
          <w:tcPr>
            <w:tcW w:type="dxa" w:w="2448"/>
          </w:tcPr>
          <w:p>
            <w:pPr>
              <w:spacing w:after="0"/>
            </w:pPr>
            <w:r/>
            <w:r>
              <w:rPr>
                <w:rFonts w:ascii="Consolas" w:hAnsi="Consolas"/>
                <w:b w:val="0"/>
                <w:i w:val="0"/>
                <w:sz w:val="15"/>
              </w:rPr>
              <w:t>director</w:t>
            </w:r>
            <w:r>
              <w:rPr>
                <w:b w:val="0"/>
                <w:i w:val="0"/>
                <w:sz w:val="17"/>
              </w:rPr>
              <w:t xml:space="preserve">, </w:t>
            </w:r>
            <w:r>
              <w:rPr>
                <w:rFonts w:ascii="Consolas" w:hAnsi="Consolas"/>
                <w:b w:val="0"/>
                <w:i w:val="0"/>
                <w:sz w:val="15"/>
              </w:rPr>
              <w:t>cast</w:t>
            </w:r>
            <w:r>
              <w:rPr>
                <w:b w:val="0"/>
                <w:i w:val="0"/>
                <w:sz w:val="17"/>
              </w:rPr>
              <w:t xml:space="preserve">, </w:t>
            </w:r>
            <w:r>
              <w:rPr>
                <w:rFonts w:ascii="Consolas" w:hAnsi="Consolas"/>
                <w:b w:val="0"/>
                <w:i w:val="0"/>
                <w:sz w:val="15"/>
              </w:rPr>
              <w:t>country</w:t>
            </w:r>
            <w:r>
              <w:rPr>
                <w:b w:val="0"/>
                <w:i w:val="0"/>
                <w:sz w:val="17"/>
              </w:rPr>
              <w:t xml:space="preserve"> con nulos</w:t>
            </w:r>
          </w:p>
        </w:tc>
        <w:tc>
          <w:tcPr>
            <w:tcW w:type="dxa" w:w="3456"/>
          </w:tcPr>
          <w:p>
            <w:pPr>
              <w:spacing w:after="0"/>
            </w:pPr>
            <w:r/>
            <w:r>
              <w:rPr>
                <w:b w:val="0"/>
                <w:i w:val="0"/>
                <w:sz w:val="17"/>
              </w:rPr>
              <w:t>2.634, 825 y 831 filas</w:t>
            </w:r>
          </w:p>
        </w:tc>
        <w:tc>
          <w:tcPr>
            <w:tcW w:type="dxa" w:w="3600"/>
          </w:tcPr>
          <w:p>
            <w:pPr>
              <w:spacing w:after="0"/>
            </w:pPr>
            <w:r/>
            <w:r>
              <w:rPr>
                <w:b w:val="0"/>
                <w:i w:val="0"/>
                <w:sz w:val="17"/>
              </w:rPr>
              <w:t xml:space="preserve">Se reemplazan por </w:t>
            </w:r>
            <w:r>
              <w:rPr>
                <w:rFonts w:ascii="Consolas" w:hAnsi="Consolas"/>
                <w:b w:val="0"/>
                <w:i w:val="0"/>
                <w:sz w:val="15"/>
              </w:rPr>
              <w:t>"Desconocido"</w:t>
            </w:r>
            <w:r>
              <w:rPr>
                <w:b w:val="0"/>
                <w:i w:val="0"/>
                <w:sz w:val="17"/>
              </w:rPr>
              <w:t xml:space="preserve"> para no perder el resto de la fila. </w:t>
            </w:r>
            <w:r>
              <w:rPr>
                <w:rFonts w:ascii="Consolas" w:hAnsi="Consolas"/>
                <w:b w:val="0"/>
                <w:i w:val="0"/>
                <w:sz w:val="15"/>
              </w:rPr>
              <w:t>country</w:t>
            </w:r>
            <w:r>
              <w:rPr>
                <w:b w:val="0"/>
                <w:i w:val="0"/>
                <w:sz w:val="17"/>
              </w:rPr>
              <w:t xml:space="preserve"> desconocido es 9,4% del catálogo y aparece como tercer "país" en los rankings.</w:t>
            </w:r>
          </w:p>
        </w:tc>
      </w:tr>
      <w:tr>
        <w:trPr>
          <w:cantSplit/>
        </w:trPr>
        <w:tc>
          <w:tcPr>
            <w:tcW w:type="dxa" w:w="2448"/>
            <w:shd w:val="clear" w:color="auto" w:fill="F2F4F8"/>
          </w:tcPr>
          <w:p>
            <w:pPr>
              <w:spacing w:after="0"/>
            </w:pPr>
            <w:r/>
            <w:r>
              <w:rPr>
                <w:b w:val="0"/>
                <w:i w:val="0"/>
                <w:sz w:val="17"/>
              </w:rPr>
              <w:t xml:space="preserve">Fechas </w:t>
            </w:r>
            <w:r>
              <w:rPr>
                <w:rFonts w:ascii="Consolas" w:hAnsi="Consolas"/>
                <w:b w:val="0"/>
                <w:i w:val="0"/>
                <w:sz w:val="15"/>
              </w:rPr>
              <w:t>date_added</w:t>
            </w:r>
            <w:r>
              <w:rPr>
                <w:b w:val="0"/>
                <w:i w:val="0"/>
                <w:sz w:val="17"/>
              </w:rPr>
              <w:t xml:space="preserve"> perdidas por formato</w:t>
            </w:r>
          </w:p>
        </w:tc>
        <w:tc>
          <w:tcPr>
            <w:tcW w:type="dxa" w:w="3456"/>
            <w:shd w:val="clear" w:color="auto" w:fill="F2F4F8"/>
          </w:tcPr>
          <w:p>
            <w:pPr>
              <w:spacing w:after="0"/>
            </w:pPr>
            <w:r/>
            <w:r>
              <w:rPr>
                <w:b w:val="0"/>
                <w:i w:val="0"/>
                <w:sz w:val="17"/>
              </w:rPr>
              <w:t>88 fechas válidas se convertían en nulo por un espacio inicial (</w:t>
            </w:r>
            <w:r>
              <w:rPr>
                <w:rFonts w:ascii="Consolas" w:hAnsi="Consolas"/>
                <w:b w:val="0"/>
                <w:i w:val="0"/>
                <w:sz w:val="15"/>
              </w:rPr>
              <w:t>" August 4, 2017"</w:t>
            </w:r>
            <w:r>
              <w:rPr>
                <w:b w:val="0"/>
                <w:i w:val="0"/>
                <w:sz w:val="17"/>
              </w:rPr>
              <w:t>)</w:t>
            </w:r>
          </w:p>
        </w:tc>
        <w:tc>
          <w:tcPr>
            <w:tcW w:type="dxa" w:w="3600"/>
            <w:shd w:val="clear" w:color="auto" w:fill="F2F4F8"/>
          </w:tcPr>
          <w:p>
            <w:pPr>
              <w:spacing w:after="0"/>
            </w:pPr>
            <w:r/>
            <w:r>
              <w:rPr>
                <w:b/>
                <w:i w:val="0"/>
                <w:sz w:val="17"/>
              </w:rPr>
              <w:t>Corrección: aplicar str.strip() antes de to_datetime.</w:t>
            </w:r>
            <w:r>
              <w:rPr>
                <w:b w:val="0"/>
                <w:i w:val="0"/>
                <w:sz w:val="17"/>
              </w:rPr>
              <w:t xml:space="preserve"> Quedan 10 nulos reales en vez de 98.</w:t>
            </w:r>
          </w:p>
        </w:tc>
      </w:tr>
      <w:tr>
        <w:trPr>
          <w:cantSplit/>
        </w:trPr>
        <w:tc>
          <w:tcPr>
            <w:tcW w:type="dxa" w:w="2448"/>
          </w:tcPr>
          <w:p>
            <w:pPr>
              <w:spacing w:after="0"/>
            </w:pPr>
            <w:r/>
            <w:r>
              <w:rPr>
                <w:rFonts w:ascii="Consolas" w:hAnsi="Consolas"/>
                <w:b w:val="0"/>
                <w:i w:val="0"/>
                <w:sz w:val="15"/>
              </w:rPr>
              <w:t>rating</w:t>
            </w:r>
            <w:r>
              <w:rPr>
                <w:b w:val="0"/>
                <w:i w:val="0"/>
                <w:sz w:val="17"/>
              </w:rPr>
              <w:t xml:space="preserve"> con la duración</w:t>
            </w:r>
          </w:p>
        </w:tc>
        <w:tc>
          <w:tcPr>
            <w:tcW w:type="dxa" w:w="3456"/>
          </w:tcPr>
          <w:p>
            <w:pPr>
              <w:spacing w:after="0"/>
            </w:pPr>
            <w:r/>
            <w:r>
              <w:rPr>
                <w:b w:val="0"/>
                <w:i w:val="0"/>
                <w:sz w:val="17"/>
              </w:rPr>
              <w:t xml:space="preserve">3 especiales de Louis C.K. con </w:t>
            </w:r>
            <w:r>
              <w:rPr>
                <w:rFonts w:ascii="Consolas" w:hAnsi="Consolas"/>
                <w:b w:val="0"/>
                <w:i w:val="0"/>
                <w:sz w:val="15"/>
              </w:rPr>
              <w:t>"74 min"</w:t>
            </w:r>
            <w:r>
              <w:rPr>
                <w:b w:val="0"/>
                <w:i w:val="0"/>
                <w:sz w:val="17"/>
              </w:rPr>
              <w:t xml:space="preserve">, </w:t>
            </w:r>
            <w:r>
              <w:rPr>
                <w:rFonts w:ascii="Consolas" w:hAnsi="Consolas"/>
                <w:b w:val="0"/>
                <w:i w:val="0"/>
                <w:sz w:val="15"/>
              </w:rPr>
              <w:t>"84 min"</w:t>
            </w:r>
            <w:r>
              <w:rPr>
                <w:b w:val="0"/>
                <w:i w:val="0"/>
                <w:sz w:val="17"/>
              </w:rPr>
              <w:t xml:space="preserve"> y </w:t>
            </w:r>
            <w:r>
              <w:rPr>
                <w:rFonts w:ascii="Consolas" w:hAnsi="Consolas"/>
                <w:b w:val="0"/>
                <w:i w:val="0"/>
                <w:sz w:val="15"/>
              </w:rPr>
              <w:t>"66 min"</w:t>
            </w:r>
            <w:r>
              <w:rPr>
                <w:b w:val="0"/>
                <w:i w:val="0"/>
                <w:sz w:val="17"/>
              </w:rPr>
              <w:t xml:space="preserve"> en </w:t>
            </w:r>
            <w:r>
              <w:rPr>
                <w:rFonts w:ascii="Consolas" w:hAnsi="Consolas"/>
                <w:b w:val="0"/>
                <w:i w:val="0"/>
                <w:sz w:val="15"/>
              </w:rPr>
              <w:t>rating</w:t>
            </w:r>
          </w:p>
        </w:tc>
        <w:tc>
          <w:tcPr>
            <w:tcW w:type="dxa" w:w="3600"/>
          </w:tcPr>
          <w:p>
            <w:pPr>
              <w:spacing w:after="0"/>
            </w:pPr>
            <w:r/>
            <w:r>
              <w:rPr>
                <w:b w:val="0"/>
                <w:i w:val="0"/>
                <w:sz w:val="17"/>
              </w:rPr>
              <w:t xml:space="preserve">Se mueve el valor a </w:t>
            </w:r>
            <w:r>
              <w:rPr>
                <w:rFonts w:ascii="Consolas" w:hAnsi="Consolas"/>
                <w:b w:val="0"/>
                <w:i w:val="0"/>
                <w:sz w:val="15"/>
              </w:rPr>
              <w:t>duration</w:t>
            </w:r>
            <w:r>
              <w:rPr>
                <w:b w:val="0"/>
                <w:i w:val="0"/>
                <w:sz w:val="17"/>
              </w:rPr>
              <w:t xml:space="preserve"> y </w:t>
            </w:r>
            <w:r>
              <w:rPr>
                <w:rFonts w:ascii="Consolas" w:hAnsi="Consolas"/>
                <w:b w:val="0"/>
                <w:i w:val="0"/>
                <w:sz w:val="15"/>
              </w:rPr>
              <w:t>rating</w:t>
            </w:r>
            <w:r>
              <w:rPr>
                <w:b w:val="0"/>
                <w:i w:val="0"/>
                <w:sz w:val="17"/>
              </w:rPr>
              <w:t xml:space="preserve"> pasa a </w:t>
            </w:r>
            <w:r>
              <w:rPr>
                <w:rFonts w:ascii="Consolas" w:hAnsi="Consolas"/>
                <w:b w:val="0"/>
                <w:i w:val="0"/>
                <w:sz w:val="15"/>
              </w:rPr>
              <w:t>"Desconocido"</w:t>
            </w:r>
            <w:r>
              <w:rPr>
                <w:b w:val="0"/>
                <w:i w:val="0"/>
                <w:sz w:val="17"/>
              </w:rPr>
              <w:t>.</w:t>
            </w:r>
          </w:p>
        </w:tc>
      </w:tr>
      <w:tr>
        <w:trPr>
          <w:cantSplit/>
        </w:trPr>
        <w:tc>
          <w:tcPr>
            <w:tcW w:type="dxa" w:w="2448"/>
            <w:shd w:val="clear" w:color="auto" w:fill="F2F4F8"/>
          </w:tcPr>
          <w:p>
            <w:pPr>
              <w:spacing w:after="0"/>
            </w:pPr>
            <w:r/>
            <w:r>
              <w:rPr>
                <w:b w:val="0"/>
                <w:i w:val="0"/>
                <w:sz w:val="17"/>
              </w:rPr>
              <w:t>Antigüedad negativa</w:t>
            </w:r>
          </w:p>
        </w:tc>
        <w:tc>
          <w:tcPr>
            <w:tcW w:type="dxa" w:w="3456"/>
            <w:shd w:val="clear" w:color="auto" w:fill="F2F4F8"/>
          </w:tcPr>
          <w:p>
            <w:pPr>
              <w:spacing w:after="0"/>
            </w:pPr>
            <w:r/>
            <w:r>
              <w:rPr>
                <w:b w:val="0"/>
                <w:i w:val="0"/>
                <w:sz w:val="17"/>
              </w:rPr>
              <w:t>14 títulos</w:t>
            </w:r>
          </w:p>
        </w:tc>
        <w:tc>
          <w:tcPr>
            <w:tcW w:type="dxa" w:w="3600"/>
            <w:shd w:val="clear" w:color="auto" w:fill="F2F4F8"/>
          </w:tcPr>
          <w:p>
            <w:pPr>
              <w:spacing w:after="0"/>
            </w:pPr>
            <w:r/>
            <w:r>
              <w:rPr>
                <w:b w:val="0"/>
                <w:i w:val="0"/>
                <w:sz w:val="17"/>
              </w:rPr>
              <w:t xml:space="preserve">Se conservan: son una particularidad del dataset (en las series </w:t>
            </w:r>
            <w:r>
              <w:rPr>
                <w:rFonts w:ascii="Consolas" w:hAnsi="Consolas"/>
                <w:b w:val="0"/>
                <w:i w:val="0"/>
                <w:sz w:val="15"/>
              </w:rPr>
              <w:t>release_year</w:t>
            </w:r>
            <w:r>
              <w:rPr>
                <w:b w:val="0"/>
                <w:i w:val="0"/>
                <w:sz w:val="17"/>
              </w:rPr>
              <w:t xml:space="preserve"> refleja la última temporada).</w:t>
            </w:r>
          </w:p>
        </w:tc>
      </w:tr>
      <w:tr>
        <w:trPr>
          <w:cantSplit/>
        </w:trPr>
        <w:tc>
          <w:tcPr>
            <w:tcW w:type="dxa" w:w="2448"/>
          </w:tcPr>
          <w:p>
            <w:pPr>
              <w:spacing w:after="0"/>
            </w:pPr>
            <w:r/>
            <w:r>
              <w:rPr>
                <w:b w:val="0"/>
                <w:i w:val="0"/>
                <w:sz w:val="17"/>
              </w:rPr>
              <w:t>Duplicados en valoraciones</w:t>
            </w:r>
          </w:p>
        </w:tc>
        <w:tc>
          <w:tcPr>
            <w:tcW w:type="dxa" w:w="3456"/>
          </w:tcPr>
          <w:p>
            <w:pPr>
              <w:spacing w:after="0"/>
            </w:pPr>
            <w:r/>
            <w:r>
              <w:rPr>
                <w:b w:val="0"/>
                <w:i w:val="0"/>
                <w:sz w:val="17"/>
              </w:rPr>
              <w:t>500 de 1.000 filas (50%)</w:t>
            </w:r>
          </w:p>
        </w:tc>
        <w:tc>
          <w:tcPr>
            <w:tcW w:type="dxa" w:w="3600"/>
          </w:tcPr>
          <w:p>
            <w:pPr>
              <w:spacing w:after="0"/>
            </w:pPr>
            <w:r/>
            <w:r>
              <w:rPr>
                <w:b w:val="0"/>
                <w:i w:val="0"/>
                <w:sz w:val="17"/>
              </w:rPr>
              <w:t>Se eliminan. Es una proporción alta, posible problema de carga del archivo original.</w:t>
            </w:r>
          </w:p>
        </w:tc>
      </w:tr>
      <w:tr>
        <w:trPr>
          <w:cantSplit/>
        </w:trPr>
        <w:tc>
          <w:tcPr>
            <w:tcW w:type="dxa" w:w="2448"/>
            <w:shd w:val="clear" w:color="auto" w:fill="F2F4F8"/>
          </w:tcPr>
          <w:p>
            <w:pPr>
              <w:spacing w:after="0"/>
            </w:pPr>
            <w:r/>
            <w:r>
              <w:rPr>
                <w:rFonts w:ascii="Consolas" w:hAnsi="Consolas"/>
                <w:b w:val="0"/>
                <w:i w:val="0"/>
                <w:sz w:val="15"/>
              </w:rPr>
              <w:t>user_rating_score</w:t>
            </w:r>
            <w:r>
              <w:rPr>
                <w:b w:val="0"/>
                <w:i w:val="0"/>
                <w:sz w:val="17"/>
              </w:rPr>
              <w:t xml:space="preserve"> nulo</w:t>
            </w:r>
          </w:p>
        </w:tc>
        <w:tc>
          <w:tcPr>
            <w:tcW w:type="dxa" w:w="3456"/>
            <w:shd w:val="clear" w:color="auto" w:fill="F2F4F8"/>
          </w:tcPr>
          <w:p>
            <w:pPr>
              <w:spacing w:after="0"/>
            </w:pPr>
            <w:r/>
            <w:r>
              <w:rPr>
                <w:b w:val="0"/>
                <w:i w:val="0"/>
                <w:sz w:val="17"/>
              </w:rPr>
              <w:t>395 nulos en el original; 256 valores válidos tras deduplicar</w:t>
            </w:r>
          </w:p>
        </w:tc>
        <w:tc>
          <w:tcPr>
            <w:tcW w:type="dxa" w:w="3600"/>
            <w:shd w:val="clear" w:color="auto" w:fill="F2F4F8"/>
          </w:tcPr>
          <w:p>
            <w:pPr>
              <w:spacing w:after="0"/>
            </w:pPr>
            <w:r/>
            <w:r>
              <w:rPr>
                <w:b w:val="0"/>
                <w:i w:val="0"/>
                <w:sz w:val="17"/>
              </w:rPr>
              <w:t>Se analizan solo los registros con puntuación; no se imputa.</w:t>
            </w:r>
          </w:p>
        </w:tc>
      </w:tr>
      <w:tr>
        <w:trPr>
          <w:cantSplit/>
        </w:trPr>
        <w:tc>
          <w:tcPr>
            <w:tcW w:type="dxa" w:w="2448"/>
          </w:tcPr>
          <w:p>
            <w:pPr>
              <w:spacing w:after="0"/>
            </w:pPr>
            <w:r/>
            <w:r>
              <w:rPr>
                <w:b w:val="0"/>
                <w:i w:val="0"/>
                <w:sz w:val="17"/>
              </w:rPr>
              <w:t>Outliers</w:t>
            </w:r>
          </w:p>
        </w:tc>
        <w:tc>
          <w:tcPr>
            <w:tcW w:type="dxa" w:w="3456"/>
          </w:tcPr>
          <w:p>
            <w:pPr>
              <w:spacing w:after="0"/>
            </w:pPr>
            <w:r/>
            <w:r>
              <w:rPr>
                <w:b w:val="0"/>
                <w:i w:val="0"/>
                <w:sz w:val="17"/>
              </w:rPr>
              <w:t>ver tabla IQR arriba</w:t>
            </w:r>
          </w:p>
        </w:tc>
        <w:tc>
          <w:tcPr>
            <w:tcW w:type="dxa" w:w="3600"/>
          </w:tcPr>
          <w:p>
            <w:pPr>
              <w:spacing w:after="0"/>
            </w:pPr>
            <w:r/>
            <w:r>
              <w:rPr>
                <w:b/>
                <w:i w:val="0"/>
                <w:sz w:val="17"/>
              </w:rPr>
              <w:t>No se eliminan:</w:t>
            </w:r>
            <w:r>
              <w:rPr>
                <w:b w:val="0"/>
                <w:i w:val="0"/>
                <w:sz w:val="17"/>
              </w:rPr>
              <w:t xml:space="preserve"> son títulos reales (especiales de 3 minutos, series de 17 temporadas). Se reportan con mediana.</w:t>
            </w:r>
          </w:p>
        </w:tc>
      </w:tr>
    </w:tbl>
    <w:p>
      <w:pPr>
        <w:spacing w:after="40"/>
      </w:pPr>
    </w:p>
    <w:p>
      <w:pPr>
        <w:ind w:left="340"/>
      </w:pPr>
      <w:r>
        <w:rPr>
          <w:b/>
          <w:i w:val="0"/>
          <w:color w:val="5B6678"/>
        </w:rPr>
        <w:t>Impacto de la corrección de fechas.</w:t>
      </w:r>
      <w:r>
        <w:rPr>
          <w:b w:val="0"/>
          <w:i w:val="0"/>
          <w:color w:val="5B6678"/>
        </w:rPr>
        <w:t xml:space="preserve"> Con la conversión original se perdían 88 títulos del análisis temporal (8.709 en vez de 8.797). Todas las cifras de este informe usan la versión corregida.</w:t>
      </w:r>
    </w:p>
    <w:p>
      <w:pPr>
        <w:pStyle w:val="Heading1"/>
      </w:pPr>
      <w:r>
        <w:t>3 · Análisis univariado</w:t>
      </w:r>
    </w:p>
    <w:p>
      <w:r>
        <w:rPr>
          <w:b/>
          <w:i w:val="0"/>
        </w:rPr>
        <w:t>Tabla descriptiva de las variables numéricas: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3024"/>
        <w:gridCol w:w="720"/>
        <w:gridCol w:w="864"/>
        <w:gridCol w:w="936"/>
        <w:gridCol w:w="792"/>
        <w:gridCol w:w="648"/>
        <w:gridCol w:w="648"/>
        <w:gridCol w:w="936"/>
        <w:gridCol w:w="936"/>
      </w:tblGrid>
      <w:tr>
        <w:trPr>
          <w:cantSplit/>
        </w:trPr>
        <w:tc>
          <w:tcPr>
            <w:tcW w:type="dxa" w:w="3024"/>
            <w:shd w:val="clear" w:color="auto" w:fill="2F4B8A"/>
          </w:tcPr>
          <w:p>
            <w:pPr>
              <w:spacing w:after="0"/>
            </w:pPr>
            <w:r/>
            <w:r>
              <w:rPr>
                <w:b/>
                <w:i w:val="0"/>
                <w:color w:val="FFFFFF"/>
                <w:sz w:val="16"/>
              </w:rPr>
              <w:t>Variable</w:t>
            </w:r>
          </w:p>
        </w:tc>
        <w:tc>
          <w:tcPr>
            <w:tcW w:type="dxa" w:w="720"/>
            <w:shd w:val="clear" w:color="auto" w:fill="2F4B8A"/>
          </w:tcPr>
          <w:p>
            <w:r/>
            <w:r>
              <w:rPr>
                <w:b/>
                <w:i w:val="0"/>
                <w:color w:val="FFFFFF"/>
                <w:sz w:val="16"/>
              </w:rPr>
              <w:t>n</w:t>
            </w:r>
          </w:p>
        </w:tc>
        <w:tc>
          <w:tcPr>
            <w:tcW w:type="dxa" w:w="864"/>
            <w:shd w:val="clear" w:color="auto" w:fill="2F4B8A"/>
          </w:tcPr>
          <w:p>
            <w:r/>
            <w:r>
              <w:rPr>
                <w:b/>
                <w:i w:val="0"/>
                <w:color w:val="FFFFFF"/>
                <w:sz w:val="16"/>
              </w:rPr>
              <w:t>Media</w:t>
            </w:r>
          </w:p>
        </w:tc>
        <w:tc>
          <w:tcPr>
            <w:tcW w:type="dxa" w:w="936"/>
            <w:shd w:val="clear" w:color="auto" w:fill="2F4B8A"/>
          </w:tcPr>
          <w:p>
            <w:r/>
            <w:r>
              <w:rPr>
                <w:b/>
                <w:i w:val="0"/>
                <w:color w:val="FFFFFF"/>
                <w:sz w:val="16"/>
              </w:rPr>
              <w:t>Mediana</w:t>
            </w:r>
          </w:p>
        </w:tc>
        <w:tc>
          <w:tcPr>
            <w:tcW w:type="dxa" w:w="792"/>
            <w:shd w:val="clear" w:color="auto" w:fill="2F4B8A"/>
          </w:tcPr>
          <w:p>
            <w:r/>
            <w:r>
              <w:rPr>
                <w:b/>
                <w:i w:val="0"/>
                <w:color w:val="FFFFFF"/>
                <w:sz w:val="16"/>
              </w:rPr>
              <w:t>Desv.</w:t>
            </w:r>
          </w:p>
        </w:tc>
        <w:tc>
          <w:tcPr>
            <w:tcW w:type="dxa" w:w="648"/>
            <w:shd w:val="clear" w:color="auto" w:fill="2F4B8A"/>
          </w:tcPr>
          <w:p>
            <w:r/>
            <w:r>
              <w:rPr>
                <w:b/>
                <w:i w:val="0"/>
                <w:color w:val="FFFFFF"/>
                <w:sz w:val="16"/>
              </w:rPr>
              <w:t>Mín.</w:t>
            </w:r>
          </w:p>
        </w:tc>
        <w:tc>
          <w:tcPr>
            <w:tcW w:type="dxa" w:w="648"/>
            <w:shd w:val="clear" w:color="auto" w:fill="2F4B8A"/>
          </w:tcPr>
          <w:p>
            <w:r/>
            <w:r>
              <w:rPr>
                <w:b/>
                <w:i w:val="0"/>
                <w:color w:val="FFFFFF"/>
                <w:sz w:val="16"/>
              </w:rPr>
              <w:t>Máx.</w:t>
            </w:r>
          </w:p>
        </w:tc>
        <w:tc>
          <w:tcPr>
            <w:tcW w:type="dxa" w:w="936"/>
            <w:shd w:val="clear" w:color="auto" w:fill="2F4B8A"/>
          </w:tcPr>
          <w:p>
            <w:r/>
            <w:r>
              <w:rPr>
                <w:b/>
                <w:i w:val="0"/>
                <w:color w:val="FFFFFF"/>
                <w:sz w:val="16"/>
              </w:rPr>
              <w:t>Asimetría</w:t>
            </w:r>
          </w:p>
        </w:tc>
        <w:tc>
          <w:tcPr>
            <w:tcW w:type="dxa" w:w="936"/>
            <w:shd w:val="clear" w:color="auto" w:fill="2F4B8A"/>
          </w:tcPr>
          <w:p>
            <w:r/>
            <w:r>
              <w:rPr>
                <w:b/>
                <w:i w:val="0"/>
                <w:color w:val="FFFFFF"/>
                <w:sz w:val="16"/>
              </w:rPr>
              <w:t>Curtosis</w:t>
            </w:r>
          </w:p>
        </w:tc>
      </w:tr>
      <w:tr>
        <w:trPr>
          <w:cantSplit/>
        </w:trPr>
        <w:tc>
          <w:tcPr>
            <w:tcW w:type="dxa" w:w="3024"/>
          </w:tcPr>
          <w:p>
            <w:pPr>
              <w:spacing w:after="0"/>
            </w:pPr>
            <w:r/>
            <w:r>
              <w:rPr>
                <w:b w:val="0"/>
                <w:i w:val="0"/>
                <w:sz w:val="16"/>
              </w:rPr>
              <w:t>release_year</w:t>
            </w:r>
          </w:p>
        </w:tc>
        <w:tc>
          <w:tcPr>
            <w:tcW w:type="dxa" w:w="720"/>
          </w:tcPr>
          <w:p>
            <w:pPr>
              <w:spacing w:after="0"/>
              <w:jc w:val="right"/>
            </w:pPr>
            <w:r/>
            <w:r>
              <w:rPr>
                <w:b w:val="0"/>
                <w:i w:val="0"/>
                <w:sz w:val="16"/>
              </w:rPr>
              <w:t>8.807</w:t>
            </w:r>
          </w:p>
        </w:tc>
        <w:tc>
          <w:tcPr>
            <w:tcW w:type="dxa" w:w="864"/>
          </w:tcPr>
          <w:p>
            <w:pPr>
              <w:spacing w:after="0"/>
              <w:jc w:val="right"/>
            </w:pPr>
            <w:r/>
            <w:r>
              <w:rPr>
                <w:b w:val="0"/>
                <w:i w:val="0"/>
                <w:sz w:val="16"/>
              </w:rPr>
              <w:t>2014,18</w:t>
            </w:r>
          </w:p>
        </w:tc>
        <w:tc>
          <w:tcPr>
            <w:tcW w:type="dxa" w:w="936"/>
          </w:tcPr>
          <w:p>
            <w:pPr>
              <w:spacing w:after="0"/>
              <w:jc w:val="right"/>
            </w:pPr>
            <w:r/>
            <w:r>
              <w:rPr>
                <w:b w:val="0"/>
                <w:i w:val="0"/>
                <w:sz w:val="16"/>
              </w:rPr>
              <w:t>2017,00</w:t>
            </w:r>
          </w:p>
        </w:tc>
        <w:tc>
          <w:tcPr>
            <w:tcW w:type="dxa" w:w="792"/>
          </w:tcPr>
          <w:p>
            <w:pPr>
              <w:spacing w:after="0"/>
              <w:jc w:val="right"/>
            </w:pPr>
            <w:r/>
            <w:r>
              <w:rPr>
                <w:b w:val="0"/>
                <w:i w:val="0"/>
                <w:sz w:val="16"/>
              </w:rPr>
              <w:t>8,82</w:t>
            </w:r>
          </w:p>
        </w:tc>
        <w:tc>
          <w:tcPr>
            <w:tcW w:type="dxa" w:w="648"/>
          </w:tcPr>
          <w:p>
            <w:pPr>
              <w:spacing w:after="0"/>
              <w:jc w:val="right"/>
            </w:pPr>
            <w:r/>
            <w:r>
              <w:rPr>
                <w:b w:val="0"/>
                <w:i w:val="0"/>
                <w:sz w:val="16"/>
              </w:rPr>
              <w:t>1925</w:t>
            </w:r>
          </w:p>
        </w:tc>
        <w:tc>
          <w:tcPr>
            <w:tcW w:type="dxa" w:w="648"/>
          </w:tcPr>
          <w:p>
            <w:pPr>
              <w:spacing w:after="0"/>
              <w:jc w:val="right"/>
            </w:pPr>
            <w:r/>
            <w:r>
              <w:rPr>
                <w:b w:val="0"/>
                <w:i w:val="0"/>
                <w:sz w:val="16"/>
              </w:rPr>
              <w:t>2021</w:t>
            </w:r>
          </w:p>
        </w:tc>
        <w:tc>
          <w:tcPr>
            <w:tcW w:type="dxa" w:w="936"/>
          </w:tcPr>
          <w:p>
            <w:pPr>
              <w:spacing w:after="0"/>
              <w:jc w:val="right"/>
            </w:pPr>
            <w:r/>
            <w:r>
              <w:rPr>
                <w:b w:val="0"/>
                <w:i w:val="0"/>
                <w:sz w:val="16"/>
              </w:rPr>
              <w:t>-3,45</w:t>
            </w:r>
          </w:p>
        </w:tc>
        <w:tc>
          <w:tcPr>
            <w:tcW w:type="dxa" w:w="936"/>
          </w:tcPr>
          <w:p>
            <w:pPr>
              <w:spacing w:after="0"/>
              <w:jc w:val="right"/>
            </w:pPr>
            <w:r/>
            <w:r>
              <w:rPr>
                <w:b w:val="0"/>
                <w:i w:val="0"/>
                <w:sz w:val="16"/>
              </w:rPr>
              <w:t>16,23</w:t>
            </w:r>
          </w:p>
        </w:tc>
      </w:tr>
      <w:tr>
        <w:trPr>
          <w:cantSplit/>
        </w:trPr>
        <w:tc>
          <w:tcPr>
            <w:tcW w:type="dxa" w:w="3024"/>
            <w:shd w:val="clear" w:color="auto" w:fill="F2F4F8"/>
          </w:tcPr>
          <w:p>
            <w:pPr>
              <w:spacing w:after="0"/>
            </w:pPr>
            <w:r/>
            <w:r>
              <w:rPr>
                <w:b w:val="0"/>
                <w:i w:val="0"/>
                <w:sz w:val="16"/>
              </w:rPr>
              <w:t>durationValue (películas, min)</w:t>
            </w:r>
          </w:p>
        </w:tc>
        <w:tc>
          <w:tcPr>
            <w:tcW w:type="dxa" w:w="720"/>
            <w:shd w:val="clear" w:color="auto" w:fill="F2F4F8"/>
          </w:tcPr>
          <w:p>
            <w:pPr>
              <w:spacing w:after="0"/>
              <w:jc w:val="right"/>
            </w:pPr>
            <w:r/>
            <w:r>
              <w:rPr>
                <w:b w:val="0"/>
                <w:i w:val="0"/>
                <w:sz w:val="16"/>
              </w:rPr>
              <w:t>6.131</w:t>
            </w:r>
          </w:p>
        </w:tc>
        <w:tc>
          <w:tcPr>
            <w:tcW w:type="dxa" w:w="864"/>
            <w:shd w:val="clear" w:color="auto" w:fill="F2F4F8"/>
          </w:tcPr>
          <w:p>
            <w:pPr>
              <w:spacing w:after="0"/>
              <w:jc w:val="right"/>
            </w:pPr>
            <w:r/>
            <w:r>
              <w:rPr>
                <w:b w:val="0"/>
                <w:i w:val="0"/>
                <w:sz w:val="16"/>
              </w:rPr>
              <w:t>99,56</w:t>
            </w:r>
          </w:p>
        </w:tc>
        <w:tc>
          <w:tcPr>
            <w:tcW w:type="dxa" w:w="936"/>
            <w:shd w:val="clear" w:color="auto" w:fill="F2F4F8"/>
          </w:tcPr>
          <w:p>
            <w:pPr>
              <w:spacing w:after="0"/>
              <w:jc w:val="right"/>
            </w:pPr>
            <w:r/>
            <w:r>
              <w:rPr>
                <w:b w:val="0"/>
                <w:i w:val="0"/>
                <w:sz w:val="16"/>
              </w:rPr>
              <w:t>98,00</w:t>
            </w:r>
          </w:p>
        </w:tc>
        <w:tc>
          <w:tcPr>
            <w:tcW w:type="dxa" w:w="792"/>
            <w:shd w:val="clear" w:color="auto" w:fill="F2F4F8"/>
          </w:tcPr>
          <w:p>
            <w:pPr>
              <w:spacing w:after="0"/>
              <w:jc w:val="right"/>
            </w:pPr>
            <w:r/>
            <w:r>
              <w:rPr>
                <w:b w:val="0"/>
                <w:i w:val="0"/>
                <w:sz w:val="16"/>
              </w:rPr>
              <w:t>28,29</w:t>
            </w:r>
          </w:p>
        </w:tc>
        <w:tc>
          <w:tcPr>
            <w:tcW w:type="dxa" w:w="648"/>
            <w:shd w:val="clear" w:color="auto" w:fill="F2F4F8"/>
          </w:tcPr>
          <w:p>
            <w:pPr>
              <w:spacing w:after="0"/>
              <w:jc w:val="right"/>
            </w:pPr>
            <w:r/>
            <w:r>
              <w:rPr>
                <w:b w:val="0"/>
                <w:i w:val="0"/>
                <w:sz w:val="16"/>
              </w:rPr>
              <w:t>3</w:t>
            </w:r>
          </w:p>
        </w:tc>
        <w:tc>
          <w:tcPr>
            <w:tcW w:type="dxa" w:w="648"/>
            <w:shd w:val="clear" w:color="auto" w:fill="F2F4F8"/>
          </w:tcPr>
          <w:p>
            <w:pPr>
              <w:spacing w:after="0"/>
              <w:jc w:val="right"/>
            </w:pPr>
            <w:r/>
            <w:r>
              <w:rPr>
                <w:b w:val="0"/>
                <w:i w:val="0"/>
                <w:sz w:val="16"/>
              </w:rPr>
              <w:t>312</w:t>
            </w:r>
          </w:p>
        </w:tc>
        <w:tc>
          <w:tcPr>
            <w:tcW w:type="dxa" w:w="936"/>
            <w:shd w:val="clear" w:color="auto" w:fill="F2F4F8"/>
          </w:tcPr>
          <w:p>
            <w:pPr>
              <w:spacing w:after="0"/>
              <w:jc w:val="right"/>
            </w:pPr>
            <w:r/>
            <w:r>
              <w:rPr>
                <w:b w:val="0"/>
                <w:i w:val="0"/>
                <w:sz w:val="16"/>
              </w:rPr>
              <w:t>0,20</w:t>
            </w:r>
          </w:p>
        </w:tc>
        <w:tc>
          <w:tcPr>
            <w:tcW w:type="dxa" w:w="936"/>
            <w:shd w:val="clear" w:color="auto" w:fill="F2F4F8"/>
          </w:tcPr>
          <w:p>
            <w:pPr>
              <w:spacing w:after="0"/>
              <w:jc w:val="right"/>
            </w:pPr>
            <w:r/>
            <w:r>
              <w:rPr>
                <w:b w:val="0"/>
                <w:i w:val="0"/>
                <w:sz w:val="16"/>
              </w:rPr>
              <w:t>2,29</w:t>
            </w:r>
          </w:p>
        </w:tc>
      </w:tr>
      <w:tr>
        <w:trPr>
          <w:cantSplit/>
        </w:trPr>
        <w:tc>
          <w:tcPr>
            <w:tcW w:type="dxa" w:w="3024"/>
          </w:tcPr>
          <w:p>
            <w:pPr>
              <w:spacing w:after="0"/>
            </w:pPr>
            <w:r/>
            <w:r>
              <w:rPr>
                <w:b w:val="0"/>
                <w:i w:val="0"/>
                <w:sz w:val="16"/>
              </w:rPr>
              <w:t>durationValue (series, temporadas)</w:t>
            </w:r>
          </w:p>
        </w:tc>
        <w:tc>
          <w:tcPr>
            <w:tcW w:type="dxa" w:w="720"/>
          </w:tcPr>
          <w:p>
            <w:pPr>
              <w:spacing w:after="0"/>
              <w:jc w:val="right"/>
            </w:pPr>
            <w:r/>
            <w:r>
              <w:rPr>
                <w:b w:val="0"/>
                <w:i w:val="0"/>
                <w:sz w:val="16"/>
              </w:rPr>
              <w:t>2.676</w:t>
            </w:r>
          </w:p>
        </w:tc>
        <w:tc>
          <w:tcPr>
            <w:tcW w:type="dxa" w:w="864"/>
          </w:tcPr>
          <w:p>
            <w:pPr>
              <w:spacing w:after="0"/>
              <w:jc w:val="right"/>
            </w:pPr>
            <w:r/>
            <w:r>
              <w:rPr>
                <w:b w:val="0"/>
                <w:i w:val="0"/>
                <w:sz w:val="16"/>
              </w:rPr>
              <w:t>1,76</w:t>
            </w:r>
          </w:p>
        </w:tc>
        <w:tc>
          <w:tcPr>
            <w:tcW w:type="dxa" w:w="936"/>
          </w:tcPr>
          <w:p>
            <w:pPr>
              <w:spacing w:after="0"/>
              <w:jc w:val="right"/>
            </w:pPr>
            <w:r/>
            <w:r>
              <w:rPr>
                <w:b w:val="0"/>
                <w:i w:val="0"/>
                <w:sz w:val="16"/>
              </w:rPr>
              <w:t>1,00</w:t>
            </w:r>
          </w:p>
        </w:tc>
        <w:tc>
          <w:tcPr>
            <w:tcW w:type="dxa" w:w="792"/>
          </w:tcPr>
          <w:p>
            <w:pPr>
              <w:spacing w:after="0"/>
              <w:jc w:val="right"/>
            </w:pPr>
            <w:r/>
            <w:r>
              <w:rPr>
                <w:b w:val="0"/>
                <w:i w:val="0"/>
                <w:sz w:val="16"/>
              </w:rPr>
              <w:t>1,58</w:t>
            </w:r>
          </w:p>
        </w:tc>
        <w:tc>
          <w:tcPr>
            <w:tcW w:type="dxa" w:w="648"/>
          </w:tcPr>
          <w:p>
            <w:pPr>
              <w:spacing w:after="0"/>
              <w:jc w:val="right"/>
            </w:pPr>
            <w:r/>
            <w:r>
              <w:rPr>
                <w:b w:val="0"/>
                <w:i w:val="0"/>
                <w:sz w:val="16"/>
              </w:rPr>
              <w:t>1</w:t>
            </w:r>
          </w:p>
        </w:tc>
        <w:tc>
          <w:tcPr>
            <w:tcW w:type="dxa" w:w="648"/>
          </w:tcPr>
          <w:p>
            <w:pPr>
              <w:spacing w:after="0"/>
              <w:jc w:val="right"/>
            </w:pPr>
            <w:r/>
            <w:r>
              <w:rPr>
                <w:b w:val="0"/>
                <w:i w:val="0"/>
                <w:sz w:val="16"/>
              </w:rPr>
              <w:t>17</w:t>
            </w:r>
          </w:p>
        </w:tc>
        <w:tc>
          <w:tcPr>
            <w:tcW w:type="dxa" w:w="936"/>
          </w:tcPr>
          <w:p>
            <w:pPr>
              <w:spacing w:after="0"/>
              <w:jc w:val="right"/>
            </w:pPr>
            <w:r/>
            <w:r>
              <w:rPr>
                <w:b w:val="0"/>
                <w:i w:val="0"/>
                <w:sz w:val="16"/>
              </w:rPr>
              <w:t>3,42</w:t>
            </w:r>
          </w:p>
        </w:tc>
        <w:tc>
          <w:tcPr>
            <w:tcW w:type="dxa" w:w="936"/>
          </w:tcPr>
          <w:p>
            <w:pPr>
              <w:spacing w:after="0"/>
              <w:jc w:val="right"/>
            </w:pPr>
            <w:r/>
            <w:r>
              <w:rPr>
                <w:b w:val="0"/>
                <w:i w:val="0"/>
                <w:sz w:val="16"/>
              </w:rPr>
              <w:t>16,13</w:t>
            </w:r>
          </w:p>
        </w:tc>
      </w:tr>
      <w:tr>
        <w:trPr>
          <w:cantSplit/>
        </w:trPr>
        <w:tc>
          <w:tcPr>
            <w:tcW w:type="dxa" w:w="3024"/>
            <w:shd w:val="clear" w:color="auto" w:fill="F2F4F8"/>
          </w:tcPr>
          <w:p>
            <w:pPr>
              <w:spacing w:after="0"/>
            </w:pPr>
            <w:r/>
            <w:r>
              <w:rPr>
                <w:b w:val="0"/>
                <w:i w:val="0"/>
                <w:sz w:val="16"/>
              </w:rPr>
              <w:t>added_year</w:t>
            </w:r>
          </w:p>
        </w:tc>
        <w:tc>
          <w:tcPr>
            <w:tcW w:type="dxa" w:w="720"/>
            <w:shd w:val="clear" w:color="auto" w:fill="F2F4F8"/>
          </w:tcPr>
          <w:p>
            <w:pPr>
              <w:spacing w:after="0"/>
              <w:jc w:val="right"/>
            </w:pPr>
            <w:r/>
            <w:r>
              <w:rPr>
                <w:b w:val="0"/>
                <w:i w:val="0"/>
                <w:sz w:val="16"/>
              </w:rPr>
              <w:t>8.797</w:t>
            </w:r>
          </w:p>
        </w:tc>
        <w:tc>
          <w:tcPr>
            <w:tcW w:type="dxa" w:w="864"/>
            <w:shd w:val="clear" w:color="auto" w:fill="F2F4F8"/>
          </w:tcPr>
          <w:p>
            <w:pPr>
              <w:spacing w:after="0"/>
              <w:jc w:val="right"/>
            </w:pPr>
            <w:r/>
            <w:r>
              <w:rPr>
                <w:b w:val="0"/>
                <w:i w:val="0"/>
                <w:sz w:val="16"/>
              </w:rPr>
              <w:t>2018,87</w:t>
            </w:r>
          </w:p>
        </w:tc>
        <w:tc>
          <w:tcPr>
            <w:tcW w:type="dxa" w:w="936"/>
            <w:shd w:val="clear" w:color="auto" w:fill="F2F4F8"/>
          </w:tcPr>
          <w:p>
            <w:pPr>
              <w:spacing w:after="0"/>
              <w:jc w:val="right"/>
            </w:pPr>
            <w:r/>
            <w:r>
              <w:rPr>
                <w:b w:val="0"/>
                <w:i w:val="0"/>
                <w:sz w:val="16"/>
              </w:rPr>
              <w:t>2019,00</w:t>
            </w:r>
          </w:p>
        </w:tc>
        <w:tc>
          <w:tcPr>
            <w:tcW w:type="dxa" w:w="792"/>
            <w:shd w:val="clear" w:color="auto" w:fill="F2F4F8"/>
          </w:tcPr>
          <w:p>
            <w:pPr>
              <w:spacing w:after="0"/>
              <w:jc w:val="right"/>
            </w:pPr>
            <w:r/>
            <w:r>
              <w:rPr>
                <w:b w:val="0"/>
                <w:i w:val="0"/>
                <w:sz w:val="16"/>
              </w:rPr>
              <w:t>1,57</w:t>
            </w:r>
          </w:p>
        </w:tc>
        <w:tc>
          <w:tcPr>
            <w:tcW w:type="dxa" w:w="648"/>
            <w:shd w:val="clear" w:color="auto" w:fill="F2F4F8"/>
          </w:tcPr>
          <w:p>
            <w:pPr>
              <w:spacing w:after="0"/>
              <w:jc w:val="right"/>
            </w:pPr>
            <w:r/>
            <w:r>
              <w:rPr>
                <w:b w:val="0"/>
                <w:i w:val="0"/>
                <w:sz w:val="16"/>
              </w:rPr>
              <w:t>2008</w:t>
            </w:r>
          </w:p>
        </w:tc>
        <w:tc>
          <w:tcPr>
            <w:tcW w:type="dxa" w:w="648"/>
            <w:shd w:val="clear" w:color="auto" w:fill="F2F4F8"/>
          </w:tcPr>
          <w:p>
            <w:pPr>
              <w:spacing w:after="0"/>
              <w:jc w:val="right"/>
            </w:pPr>
            <w:r/>
            <w:r>
              <w:rPr>
                <w:b w:val="0"/>
                <w:i w:val="0"/>
                <w:sz w:val="16"/>
              </w:rPr>
              <w:t>2021</w:t>
            </w:r>
          </w:p>
        </w:tc>
        <w:tc>
          <w:tcPr>
            <w:tcW w:type="dxa" w:w="936"/>
            <w:shd w:val="clear" w:color="auto" w:fill="F2F4F8"/>
          </w:tcPr>
          <w:p>
            <w:pPr>
              <w:spacing w:after="0"/>
              <w:jc w:val="right"/>
            </w:pPr>
            <w:r/>
            <w:r>
              <w:rPr>
                <w:b w:val="0"/>
                <w:i w:val="0"/>
                <w:sz w:val="16"/>
              </w:rPr>
              <w:t>-0,70</w:t>
            </w:r>
          </w:p>
        </w:tc>
        <w:tc>
          <w:tcPr>
            <w:tcW w:type="dxa" w:w="936"/>
            <w:shd w:val="clear" w:color="auto" w:fill="F2F4F8"/>
          </w:tcPr>
          <w:p>
            <w:pPr>
              <w:spacing w:after="0"/>
              <w:jc w:val="right"/>
            </w:pPr>
            <w:r/>
            <w:r>
              <w:rPr>
                <w:b w:val="0"/>
                <w:i w:val="0"/>
                <w:sz w:val="16"/>
              </w:rPr>
              <w:t>1,32</w:t>
            </w:r>
          </w:p>
        </w:tc>
      </w:tr>
      <w:tr>
        <w:trPr>
          <w:cantSplit/>
        </w:trPr>
        <w:tc>
          <w:tcPr>
            <w:tcW w:type="dxa" w:w="3024"/>
          </w:tcPr>
          <w:p>
            <w:pPr>
              <w:spacing w:after="0"/>
            </w:pPr>
            <w:r/>
            <w:r>
              <w:rPr>
                <w:b w:val="0"/>
                <w:i w:val="0"/>
                <w:sz w:val="16"/>
              </w:rPr>
              <w:t>antiguedad_al_agregar (años)</w:t>
            </w:r>
          </w:p>
        </w:tc>
        <w:tc>
          <w:tcPr>
            <w:tcW w:type="dxa" w:w="720"/>
          </w:tcPr>
          <w:p>
            <w:pPr>
              <w:spacing w:after="0"/>
              <w:jc w:val="right"/>
            </w:pPr>
            <w:r/>
            <w:r>
              <w:rPr>
                <w:b w:val="0"/>
                <w:i w:val="0"/>
                <w:sz w:val="16"/>
              </w:rPr>
              <w:t>8.797</w:t>
            </w:r>
          </w:p>
        </w:tc>
        <w:tc>
          <w:tcPr>
            <w:tcW w:type="dxa" w:w="864"/>
          </w:tcPr>
          <w:p>
            <w:pPr>
              <w:spacing w:after="0"/>
              <w:jc w:val="right"/>
            </w:pPr>
            <w:r/>
            <w:r>
              <w:rPr>
                <w:b w:val="0"/>
                <w:i w:val="0"/>
                <w:sz w:val="16"/>
              </w:rPr>
              <w:t>4,69</w:t>
            </w:r>
          </w:p>
        </w:tc>
        <w:tc>
          <w:tcPr>
            <w:tcW w:type="dxa" w:w="936"/>
          </w:tcPr>
          <w:p>
            <w:pPr>
              <w:spacing w:after="0"/>
              <w:jc w:val="right"/>
            </w:pPr>
            <w:r/>
            <w:r>
              <w:rPr>
                <w:b w:val="0"/>
                <w:i w:val="0"/>
                <w:sz w:val="16"/>
              </w:rPr>
              <w:t>1,00</w:t>
            </w:r>
          </w:p>
        </w:tc>
        <w:tc>
          <w:tcPr>
            <w:tcW w:type="dxa" w:w="792"/>
          </w:tcPr>
          <w:p>
            <w:pPr>
              <w:spacing w:after="0"/>
              <w:jc w:val="right"/>
            </w:pPr>
            <w:r/>
            <w:r>
              <w:rPr>
                <w:b w:val="0"/>
                <w:i w:val="0"/>
                <w:sz w:val="16"/>
              </w:rPr>
              <w:t>8,79</w:t>
            </w:r>
          </w:p>
        </w:tc>
        <w:tc>
          <w:tcPr>
            <w:tcW w:type="dxa" w:w="648"/>
          </w:tcPr>
          <w:p>
            <w:pPr>
              <w:spacing w:after="0"/>
              <w:jc w:val="right"/>
            </w:pPr>
            <w:r/>
            <w:r>
              <w:rPr>
                <w:b w:val="0"/>
                <w:i w:val="0"/>
                <w:sz w:val="16"/>
              </w:rPr>
              <w:t>-3</w:t>
            </w:r>
          </w:p>
        </w:tc>
        <w:tc>
          <w:tcPr>
            <w:tcW w:type="dxa" w:w="648"/>
          </w:tcPr>
          <w:p>
            <w:pPr>
              <w:spacing w:after="0"/>
              <w:jc w:val="right"/>
            </w:pPr>
            <w:r/>
            <w:r>
              <w:rPr>
                <w:b w:val="0"/>
                <w:i w:val="0"/>
                <w:sz w:val="16"/>
              </w:rPr>
              <w:t>93</w:t>
            </w:r>
          </w:p>
        </w:tc>
        <w:tc>
          <w:tcPr>
            <w:tcW w:type="dxa" w:w="936"/>
          </w:tcPr>
          <w:p>
            <w:pPr>
              <w:spacing w:after="0"/>
              <w:jc w:val="right"/>
            </w:pPr>
            <w:r/>
            <w:r>
              <w:rPr>
                <w:b w:val="0"/>
                <w:i w:val="0"/>
                <w:sz w:val="16"/>
              </w:rPr>
              <w:t>3,51</w:t>
            </w:r>
          </w:p>
        </w:tc>
        <w:tc>
          <w:tcPr>
            <w:tcW w:type="dxa" w:w="936"/>
          </w:tcPr>
          <w:p>
            <w:pPr>
              <w:spacing w:after="0"/>
              <w:jc w:val="right"/>
            </w:pPr>
            <w:r/>
            <w:r>
              <w:rPr>
                <w:b w:val="0"/>
                <w:i w:val="0"/>
                <w:sz w:val="16"/>
              </w:rPr>
              <w:t>16,19</w:t>
            </w:r>
          </w:p>
        </w:tc>
      </w:tr>
      <w:tr>
        <w:trPr>
          <w:cantSplit/>
        </w:trPr>
        <w:tc>
          <w:tcPr>
            <w:tcW w:type="dxa" w:w="3024"/>
            <w:shd w:val="clear" w:color="auto" w:fill="F2F4F8"/>
          </w:tcPr>
          <w:p>
            <w:pPr>
              <w:spacing w:after="0"/>
            </w:pPr>
            <w:r/>
            <w:r>
              <w:rPr>
                <w:b w:val="0"/>
                <w:i w:val="0"/>
                <w:sz w:val="16"/>
              </w:rPr>
              <w:t>user_rating_score</w:t>
            </w:r>
          </w:p>
        </w:tc>
        <w:tc>
          <w:tcPr>
            <w:tcW w:type="dxa" w:w="720"/>
            <w:shd w:val="clear" w:color="auto" w:fill="F2F4F8"/>
          </w:tcPr>
          <w:p>
            <w:pPr>
              <w:spacing w:after="0"/>
              <w:jc w:val="right"/>
            </w:pPr>
            <w:r/>
            <w:r>
              <w:rPr>
                <w:b w:val="0"/>
                <w:i w:val="0"/>
                <w:sz w:val="16"/>
              </w:rPr>
              <w:t>256</w:t>
            </w:r>
          </w:p>
        </w:tc>
        <w:tc>
          <w:tcPr>
            <w:tcW w:type="dxa" w:w="864"/>
            <w:shd w:val="clear" w:color="auto" w:fill="F2F4F8"/>
          </w:tcPr>
          <w:p>
            <w:pPr>
              <w:spacing w:after="0"/>
              <w:jc w:val="right"/>
            </w:pPr>
            <w:r/>
            <w:r>
              <w:rPr>
                <w:b w:val="0"/>
                <w:i w:val="0"/>
                <w:sz w:val="16"/>
              </w:rPr>
              <w:t>81,40</w:t>
            </w:r>
          </w:p>
        </w:tc>
        <w:tc>
          <w:tcPr>
            <w:tcW w:type="dxa" w:w="936"/>
            <w:shd w:val="clear" w:color="auto" w:fill="F2F4F8"/>
          </w:tcPr>
          <w:p>
            <w:pPr>
              <w:spacing w:after="0"/>
              <w:jc w:val="right"/>
            </w:pPr>
            <w:r/>
            <w:r>
              <w:rPr>
                <w:b w:val="0"/>
                <w:i w:val="0"/>
                <w:sz w:val="16"/>
              </w:rPr>
              <w:t>83,50</w:t>
            </w:r>
          </w:p>
        </w:tc>
        <w:tc>
          <w:tcPr>
            <w:tcW w:type="dxa" w:w="792"/>
            <w:shd w:val="clear" w:color="auto" w:fill="F2F4F8"/>
          </w:tcPr>
          <w:p>
            <w:pPr>
              <w:spacing w:after="0"/>
              <w:jc w:val="right"/>
            </w:pPr>
            <w:r/>
            <w:r>
              <w:rPr>
                <w:b w:val="0"/>
                <w:i w:val="0"/>
                <w:sz w:val="16"/>
              </w:rPr>
              <w:t>12,73</w:t>
            </w:r>
          </w:p>
        </w:tc>
        <w:tc>
          <w:tcPr>
            <w:tcW w:type="dxa" w:w="648"/>
            <w:shd w:val="clear" w:color="auto" w:fill="F2F4F8"/>
          </w:tcPr>
          <w:p>
            <w:pPr>
              <w:spacing w:after="0"/>
              <w:jc w:val="right"/>
            </w:pPr>
            <w:r/>
            <w:r>
              <w:rPr>
                <w:b w:val="0"/>
                <w:i w:val="0"/>
                <w:sz w:val="16"/>
              </w:rPr>
              <w:t>55</w:t>
            </w:r>
          </w:p>
        </w:tc>
        <w:tc>
          <w:tcPr>
            <w:tcW w:type="dxa" w:w="648"/>
            <w:shd w:val="clear" w:color="auto" w:fill="F2F4F8"/>
          </w:tcPr>
          <w:p>
            <w:pPr>
              <w:spacing w:after="0"/>
              <w:jc w:val="right"/>
            </w:pPr>
            <w:r/>
            <w:r>
              <w:rPr>
                <w:b w:val="0"/>
                <w:i w:val="0"/>
                <w:sz w:val="16"/>
              </w:rPr>
              <w:t>99</w:t>
            </w:r>
          </w:p>
        </w:tc>
        <w:tc>
          <w:tcPr>
            <w:tcW w:type="dxa" w:w="936"/>
            <w:shd w:val="clear" w:color="auto" w:fill="F2F4F8"/>
          </w:tcPr>
          <w:p>
            <w:pPr>
              <w:spacing w:after="0"/>
              <w:jc w:val="right"/>
            </w:pPr>
            <w:r/>
            <w:r>
              <w:rPr>
                <w:b w:val="0"/>
                <w:i w:val="0"/>
                <w:sz w:val="16"/>
              </w:rPr>
              <w:t>-0,48</w:t>
            </w:r>
          </w:p>
        </w:tc>
        <w:tc>
          <w:tcPr>
            <w:tcW w:type="dxa" w:w="936"/>
            <w:shd w:val="clear" w:color="auto" w:fill="F2F4F8"/>
          </w:tcPr>
          <w:p>
            <w:pPr>
              <w:spacing w:after="0"/>
              <w:jc w:val="right"/>
            </w:pPr>
            <w:r/>
            <w:r>
              <w:rPr>
                <w:b w:val="0"/>
                <w:i w:val="0"/>
                <w:sz w:val="16"/>
              </w:rPr>
              <w:t>-0,96</w:t>
            </w:r>
          </w:p>
        </w:tc>
      </w:tr>
    </w:tbl>
    <w:p>
      <w:pPr>
        <w:spacing w:after="40"/>
      </w:pPr>
    </w:p>
    <w:p>
      <w:r>
        <w:rPr>
          <w:b/>
          <w:i w:val="0"/>
        </w:rPr>
        <w:t>Lectura de la tabla.</w:t>
      </w:r>
      <w:r>
        <w:rPr>
          <w:b w:val="0"/>
          <w:i w:val="0"/>
        </w:rPr>
        <w:t xml:space="preserve"> La duración de las películas es casi simétrica (asimetría 0,20, media 99,6 y mediana 98 min). Las series, la antigüedad y el año de lanzamiento no lo son: </w:t>
      </w:r>
      <w:r>
        <w:rPr>
          <w:rFonts w:ascii="Consolas" w:hAnsi="Consolas"/>
          <w:b w:val="0"/>
          <w:i w:val="0"/>
          <w:sz w:val="19"/>
        </w:rPr>
        <w:t>antiguedad_al_agregar</w:t>
      </w:r>
      <w:r>
        <w:rPr>
          <w:b w:val="0"/>
          <w:i w:val="0"/>
        </w:rPr>
        <w:t xml:space="preserve"> tiene media 4,7 y mediana 1, con asimetría 3,51 y curtosis 16,2; </w:t>
      </w:r>
      <w:r>
        <w:rPr>
          <w:rFonts w:ascii="Consolas" w:hAnsi="Consolas"/>
          <w:b w:val="0"/>
          <w:i w:val="0"/>
          <w:sz w:val="19"/>
        </w:rPr>
        <w:t>release_year</w:t>
      </w:r>
      <w:r>
        <w:rPr>
          <w:b w:val="0"/>
          <w:i w:val="0"/>
        </w:rPr>
        <w:t xml:space="preserve"> tiene asimetría -3,45 (cola hacia títulos antiguos). En esas variables conviene reportar la </w:t>
      </w:r>
      <w:r>
        <w:rPr>
          <w:b/>
          <w:i w:val="0"/>
        </w:rPr>
        <w:t>mediana</w:t>
      </w:r>
      <w:r>
        <w:rPr>
          <w:b w:val="0"/>
          <w:i w:val="0"/>
        </w:rPr>
        <w:t>.</w:t>
      </w:r>
    </w:p>
    <w:p>
      <w:pPr>
        <w:keepNext/>
        <w:spacing w:after="40"/>
        <w:jc w:val="center"/>
      </w:pPr>
      <w:r>
        <w:drawing>
          <wp:inline xmlns:a="http://schemas.openxmlformats.org/drawingml/2006/main" xmlns:pic="http://schemas.openxmlformats.org/drawingml/2006/picture">
            <wp:extent cx="5212080" cy="2702886"/>
            <wp:docPr id="1" name="Picture 1"/>
            <wp:cNvGraphicFramePr>
              <a:graphicFrameLocks noChangeAspect="1"/>
            </wp:cNvGraphicFramePr>
            <a:graphic>
              <a:graphicData uri="http://schemas.openxmlformats.org/drawingml/2006/picture">
                <pic:pic>
                  <pic:nvPicPr>
                    <pic:cNvPr id="0" name="fig01_hist_duracion_peliculas.png"/>
                    <pic:cNvPicPr/>
                  </pic:nvPicPr>
                  <pic:blipFill>
                    <a:blip r:embed="rId11"/>
                    <a:stretch>
                      <a:fillRect/>
                    </a:stretch>
                  </pic:blipFill>
                  <pic:spPr>
                    <a:xfrm>
                      <a:off x="0" y="0"/>
                      <a:ext cx="5212080" cy="2702886"/>
                    </a:xfrm>
                    <a:prstGeom prst="rect"/>
                  </pic:spPr>
                </pic:pic>
              </a:graphicData>
            </a:graphic>
          </wp:inline>
        </w:drawing>
      </w:r>
    </w:p>
    <w:p>
      <w:r>
        <w:rPr>
          <w:b/>
          <w:i w:val="0"/>
        </w:rPr>
        <w:t>Figura 1 · Interpretación.</w:t>
      </w:r>
      <w:r>
        <w:rPr>
          <w:b w:val="0"/>
          <w:i w:val="0"/>
        </w:rPr>
        <w:t xml:space="preserve"> La masa principal está entre 87 y 114 minutos (el 50% central). Media y mediana casi coinciden (99,6 vs 98), coherente con asimetría baja. Según el IQR hay 450 películas atípicas (7,3%), por debajo de 46,5 o sobre 154,5 minutos: especiales de stand-up muy cortos y documentales o películas épicas de hasta 312 minutos. Son datos reales y se conservan.</w:t>
      </w:r>
    </w:p>
    <w:p>
      <w:pPr>
        <w:keepNext/>
        <w:spacing w:after="40"/>
        <w:jc w:val="center"/>
      </w:pPr>
      <w:r>
        <w:drawing>
          <wp:inline xmlns:a="http://schemas.openxmlformats.org/drawingml/2006/main" xmlns:pic="http://schemas.openxmlformats.org/drawingml/2006/picture">
            <wp:extent cx="5212080" cy="1904076"/>
            <wp:docPr id="2" name="Picture 2"/>
            <wp:cNvGraphicFramePr>
              <a:graphicFrameLocks noChangeAspect="1"/>
            </wp:cNvGraphicFramePr>
            <a:graphic>
              <a:graphicData uri="http://schemas.openxmlformats.org/drawingml/2006/picture">
                <pic:pic>
                  <pic:nvPicPr>
                    <pic:cNvPr id="0" name="fig02_boxplot_antiguedad.png"/>
                    <pic:cNvPicPr/>
                  </pic:nvPicPr>
                  <pic:blipFill>
                    <a:blip r:embed="rId12"/>
                    <a:stretch>
                      <a:fillRect/>
                    </a:stretch>
                  </pic:blipFill>
                  <pic:spPr>
                    <a:xfrm>
                      <a:off x="0" y="0"/>
                      <a:ext cx="5212080" cy="1904076"/>
                    </a:xfrm>
                    <a:prstGeom prst="rect"/>
                  </pic:spPr>
                </pic:pic>
              </a:graphicData>
            </a:graphic>
          </wp:inline>
        </w:drawing>
      </w:r>
    </w:p>
    <w:p>
      <w:r>
        <w:rPr>
          <w:b/>
          <w:i w:val="0"/>
        </w:rPr>
        <w:t>Figura 2 · Interpretación.</w:t>
      </w:r>
      <w:r>
        <w:rPr>
          <w:b w:val="0"/>
          <w:i w:val="0"/>
        </w:rPr>
        <w:t xml:space="preserve"> La caja es muy estrecha (Q1 = 0, Q3 = 5) y la mediana es 1 año: </w:t>
      </w:r>
      <w:r>
        <w:rPr>
          <w:b/>
          <w:i w:val="0"/>
        </w:rPr>
        <w:t>55% de los títulos llega con un año o menos</w:t>
      </w:r>
      <w:r>
        <w:rPr>
          <w:b w:val="0"/>
          <w:i w:val="0"/>
        </w:rPr>
        <w:t xml:space="preserve"> y 37% el mismo año de su lanzamiento. El bigote superior llega a 12,5 años y hay 972 outliers (11%), el catálogo de fondo (clásicos hasta 93 años). La media (4,7) queda arrastrada por esa cola, así que se reporta la mediana.</w:t>
      </w:r>
    </w:p>
    <w:p>
      <w:pPr>
        <w:keepNext/>
        <w:spacing w:after="40"/>
        <w:jc w:val="center"/>
      </w:pPr>
      <w:r>
        <w:drawing>
          <wp:inline xmlns:a="http://schemas.openxmlformats.org/drawingml/2006/main" xmlns:pic="http://schemas.openxmlformats.org/drawingml/2006/picture">
            <wp:extent cx="5212080" cy="2830168"/>
            <wp:docPr id="3" name="Picture 3"/>
            <wp:cNvGraphicFramePr>
              <a:graphicFrameLocks noChangeAspect="1"/>
            </wp:cNvGraphicFramePr>
            <a:graphic>
              <a:graphicData uri="http://schemas.openxmlformats.org/drawingml/2006/picture">
                <pic:pic>
                  <pic:nvPicPr>
                    <pic:cNvPr id="0" name="fig03_barras_paises.png"/>
                    <pic:cNvPicPr/>
                  </pic:nvPicPr>
                  <pic:blipFill>
                    <a:blip r:embed="rId13"/>
                    <a:stretch>
                      <a:fillRect/>
                    </a:stretch>
                  </pic:blipFill>
                  <pic:spPr>
                    <a:xfrm>
                      <a:off x="0" y="0"/>
                      <a:ext cx="5212080" cy="2830168"/>
                    </a:xfrm>
                    <a:prstGeom prst="rect"/>
                  </pic:spPr>
                </pic:pic>
              </a:graphicData>
            </a:graphic>
          </wp:inline>
        </w:drawing>
      </w:r>
    </w:p>
    <w:p>
      <w:r>
        <w:rPr>
          <w:b/>
          <w:i w:val="0"/>
        </w:rPr>
        <w:t>Figura 3 · Interpretación.</w:t>
      </w:r>
      <w:r>
        <w:rPr>
          <w:b w:val="0"/>
          <w:i w:val="0"/>
        </w:rPr>
        <w:t xml:space="preserve"> Estados Unidos lidera con 3.689 títulos, seguido de India (1.046) y, en tercer lugar, </w:t>
      </w:r>
      <w:r>
        <w:rPr>
          <w:b/>
          <w:i w:val="0"/>
        </w:rPr>
        <w:t>"Desconocido" (831)</w:t>
      </w:r>
      <w:r>
        <w:rPr>
          <w:b w:val="0"/>
          <w:i w:val="0"/>
        </w:rPr>
        <w:t>, es decir, la falta de dato pesa más que Reino Unido (804). La concentración es alta: Estados Unidos, India y Reino Unido suman 3,0 veces lo que suman los otros seis países reales del ranking. Como un título coproducido cuenta en varios países, las barras no suman el total de títulos.</w:t>
      </w:r>
    </w:p>
    <w:p>
      <w:pPr>
        <w:keepNext/>
        <w:spacing w:after="40"/>
        <w:jc w:val="center"/>
      </w:pPr>
      <w:r>
        <w:drawing>
          <wp:inline xmlns:a="http://schemas.openxmlformats.org/drawingml/2006/main" xmlns:pic="http://schemas.openxmlformats.org/drawingml/2006/picture">
            <wp:extent cx="5212080" cy="2541873"/>
            <wp:docPr id="4" name="Picture 4"/>
            <wp:cNvGraphicFramePr>
              <a:graphicFrameLocks noChangeAspect="1"/>
            </wp:cNvGraphicFramePr>
            <a:graphic>
              <a:graphicData uri="http://schemas.openxmlformats.org/drawingml/2006/picture">
                <pic:pic>
                  <pic:nvPicPr>
                    <pic:cNvPr id="0" name="fig04_linea_titulos_por_anio.png"/>
                    <pic:cNvPicPr/>
                  </pic:nvPicPr>
                  <pic:blipFill>
                    <a:blip r:embed="rId14"/>
                    <a:stretch>
                      <a:fillRect/>
                    </a:stretch>
                  </pic:blipFill>
                  <pic:spPr>
                    <a:xfrm>
                      <a:off x="0" y="0"/>
                      <a:ext cx="5212080" cy="2541873"/>
                    </a:xfrm>
                    <a:prstGeom prst="rect"/>
                  </pic:spPr>
                </pic:pic>
              </a:graphicData>
            </a:graphic>
          </wp:inline>
        </w:drawing>
      </w:r>
    </w:p>
    <w:p>
      <w:r>
        <w:rPr>
          <w:b/>
          <w:i w:val="0"/>
        </w:rPr>
        <w:t>Figura 4 · Interpretación.</w:t>
      </w:r>
      <w:r>
        <w:rPr>
          <w:b w:val="0"/>
          <w:i w:val="0"/>
        </w:rPr>
        <w:t xml:space="preserve"> Hasta 2015 se agregaban menos de 100 títulos por año (82 en 2015). En 2016 la cifra salta a 429 y llega al </w:t>
      </w:r>
      <w:r>
        <w:rPr>
          <w:b/>
          <w:i w:val="0"/>
        </w:rPr>
        <w:t>máximo en 2019 con 2.016 títulos</w:t>
      </w:r>
      <w:r>
        <w:rPr>
          <w:b w:val="0"/>
          <w:i w:val="0"/>
        </w:rPr>
        <w:t>. En 2020 baja a 1.879 (−6,8% frente a 2019, único descenso de un año completo). El dato de 2021 (1.498) no es comparable porque el registro termina el 25/09/2021.</w:t>
      </w:r>
    </w:p>
    <w:p>
      <w:pPr>
        <w:keepNext/>
        <w:spacing w:after="40"/>
        <w:jc w:val="center"/>
      </w:pPr>
      <w:r>
        <w:drawing>
          <wp:inline xmlns:a="http://schemas.openxmlformats.org/drawingml/2006/main" xmlns:pic="http://schemas.openxmlformats.org/drawingml/2006/picture">
            <wp:extent cx="5212080" cy="2509244"/>
            <wp:docPr id="5" name="Picture 5"/>
            <wp:cNvGraphicFramePr>
              <a:graphicFrameLocks noChangeAspect="1"/>
            </wp:cNvGraphicFramePr>
            <a:graphic>
              <a:graphicData uri="http://schemas.openxmlformats.org/drawingml/2006/picture">
                <pic:pic>
                  <pic:nvPicPr>
                    <pic:cNvPr id="0" name="fig05_barras_clasificacion.png"/>
                    <pic:cNvPicPr/>
                  </pic:nvPicPr>
                  <pic:blipFill>
                    <a:blip r:embed="rId15"/>
                    <a:stretch>
                      <a:fillRect/>
                    </a:stretch>
                  </pic:blipFill>
                  <pic:spPr>
                    <a:xfrm>
                      <a:off x="0" y="0"/>
                      <a:ext cx="5212080" cy="2509244"/>
                    </a:xfrm>
                    <a:prstGeom prst="rect"/>
                  </pic:spPr>
                </pic:pic>
              </a:graphicData>
            </a:graphic>
          </wp:inline>
        </w:drawing>
      </w:r>
    </w:p>
    <w:p>
      <w:r>
        <w:rPr>
          <w:b/>
          <w:i w:val="0"/>
        </w:rPr>
        <w:t>Figura 5 · Interpretación.</w:t>
      </w:r>
      <w:r>
        <w:rPr>
          <w:b w:val="0"/>
          <w:i w:val="0"/>
        </w:rPr>
        <w:t xml:space="preserve"> TV-MA (3.207) y TV-14 (2.160) suman el </w:t>
      </w:r>
      <w:r>
        <w:rPr>
          <w:b/>
          <w:i w:val="0"/>
        </w:rPr>
        <w:t>61%</w:t>
      </w:r>
      <w:r>
        <w:rPr>
          <w:b w:val="0"/>
          <w:i w:val="0"/>
        </w:rPr>
        <w:t xml:space="preserve"> de los títulos. Las clasificaciones infantiles son minoritarias (TV-Y7 3,8%, TV-Y 3,5%, TV-G 2,5%) y NC-17 y UR casi no existen (3 títulos cada una). Quedan 7 títulos con clasificación desconocida tras la corrección.</w:t>
      </w:r>
    </w:p>
    <w:p>
      <w:pPr>
        <w:keepNext/>
        <w:spacing w:after="40"/>
        <w:jc w:val="center"/>
      </w:pPr>
      <w:r>
        <w:drawing>
          <wp:inline xmlns:a="http://schemas.openxmlformats.org/drawingml/2006/main" xmlns:pic="http://schemas.openxmlformats.org/drawingml/2006/picture">
            <wp:extent cx="5212080" cy="2566421"/>
            <wp:docPr id="6" name="Picture 6"/>
            <wp:cNvGraphicFramePr>
              <a:graphicFrameLocks noChangeAspect="1"/>
            </wp:cNvGraphicFramePr>
            <a:graphic>
              <a:graphicData uri="http://schemas.openxmlformats.org/drawingml/2006/picture">
                <pic:pic>
                  <pic:nvPicPr>
                    <pic:cNvPr id="0" name="fig06_hist_valoraciones.png"/>
                    <pic:cNvPicPr/>
                  </pic:nvPicPr>
                  <pic:blipFill>
                    <a:blip r:embed="rId16"/>
                    <a:stretch>
                      <a:fillRect/>
                    </a:stretch>
                  </pic:blipFill>
                  <pic:spPr>
                    <a:xfrm>
                      <a:off x="0" y="0"/>
                      <a:ext cx="5212080" cy="2566421"/>
                    </a:xfrm>
                    <a:prstGeom prst="rect"/>
                  </pic:spPr>
                </pic:pic>
              </a:graphicData>
            </a:graphic>
          </wp:inline>
        </w:drawing>
      </w:r>
    </w:p>
    <w:p>
      <w:r>
        <w:rPr>
          <w:b/>
          <w:i w:val="0"/>
        </w:rPr>
        <w:t>Figura 6 · Interpretación.</w:t>
      </w:r>
      <w:r>
        <w:rPr>
          <w:b w:val="0"/>
          <w:i w:val="0"/>
        </w:rPr>
        <w:t xml:space="preserve"> Con 256 valoraciones válidas, la media es 81,4 y la mediana 83,5: la mediana supera a la media y la asimetría es negativa (-0,48): hay una cola hacia notas bajas. El mínimo es 55: </w:t>
      </w:r>
      <w:r>
        <w:rPr>
          <w:b/>
          <w:i w:val="0"/>
        </w:rPr>
        <w:t>ningún título baja de 55</w:t>
      </w:r>
      <w:r>
        <w:rPr>
          <w:b w:val="0"/>
          <w:i w:val="0"/>
        </w:rPr>
        <w:t>, lo que podría indicar que el dataset ya viene filtrado por calidad (no podemos confirmarlo con estos datos). Hay 0 outliers por IQR.</w:t>
      </w:r>
    </w:p>
    <w:p>
      <w:pPr>
        <w:pStyle w:val="Heading1"/>
      </w:pPr>
      <w:r>
        <w:t>4 · Análisis bivariado y multivariado</w:t>
      </w:r>
    </w:p>
    <w:p>
      <w:pPr>
        <w:keepNext/>
        <w:spacing w:after="40"/>
        <w:jc w:val="center"/>
      </w:pPr>
      <w:r>
        <w:drawing>
          <wp:inline xmlns:a="http://schemas.openxmlformats.org/drawingml/2006/main" xmlns:pic="http://schemas.openxmlformats.org/drawingml/2006/picture">
            <wp:extent cx="5212080" cy="3261604"/>
            <wp:docPr id="7" name="Picture 7"/>
            <wp:cNvGraphicFramePr>
              <a:graphicFrameLocks noChangeAspect="1"/>
            </wp:cNvGraphicFramePr>
            <a:graphic>
              <a:graphicData uri="http://schemas.openxmlformats.org/drawingml/2006/picture">
                <pic:pic>
                  <pic:nvPicPr>
                    <pic:cNvPr id="0" name="fig07_heatmap_correlaciones.png"/>
                    <pic:cNvPicPr/>
                  </pic:nvPicPr>
                  <pic:blipFill>
                    <a:blip r:embed="rId17"/>
                    <a:stretch>
                      <a:fillRect/>
                    </a:stretch>
                  </pic:blipFill>
                  <pic:spPr>
                    <a:xfrm>
                      <a:off x="0" y="0"/>
                      <a:ext cx="5212080" cy="3261604"/>
                    </a:xfrm>
                    <a:prstGeom prst="rect"/>
                  </pic:spPr>
                </pic:pic>
              </a:graphicData>
            </a:graphic>
          </wp:inline>
        </w:drawing>
      </w:r>
    </w:p>
    <w:p>
      <w:r>
        <w:rPr>
          <w:b/>
          <w:i w:val="0"/>
        </w:rPr>
        <w:t>Figura 7 · Interpretación (películas).</w:t>
      </w:r>
      <w:r>
        <w:rPr>
          <w:b w:val="0"/>
          <w:i w:val="0"/>
        </w:rPr>
        <w:t xml:space="preserve"> La correlación entre </w:t>
      </w:r>
      <w:r>
        <w:rPr>
          <w:rFonts w:ascii="Consolas" w:hAnsi="Consolas"/>
          <w:b w:val="0"/>
          <w:i w:val="0"/>
          <w:sz w:val="19"/>
        </w:rPr>
        <w:t>release_year</w:t>
      </w:r>
      <w:r>
        <w:rPr>
          <w:b w:val="0"/>
          <w:i w:val="0"/>
        </w:rPr>
        <w:t xml:space="preserve"> y </w:t>
      </w:r>
      <w:r>
        <w:rPr>
          <w:rFonts w:ascii="Consolas" w:hAnsi="Consolas"/>
          <w:b w:val="0"/>
          <w:i w:val="0"/>
          <w:sz w:val="19"/>
        </w:rPr>
        <w:t>antiguedad_al_agregar</w:t>
      </w:r>
      <w:r>
        <w:rPr>
          <w:b w:val="0"/>
          <w:i w:val="0"/>
        </w:rPr>
        <w:t xml:space="preserve"> es </w:t>
      </w:r>
      <w:r>
        <w:rPr>
          <w:b/>
          <w:i w:val="0"/>
        </w:rPr>
        <w:t>-0,99</w:t>
      </w:r>
      <w:r>
        <w:rPr>
          <w:b w:val="0"/>
          <w:i w:val="0"/>
        </w:rPr>
        <w:t xml:space="preserve">: es una relación casi exacta porque la antigüedad se calcula como año agregado menos año de lanzamiento. Es la misma redundancia que reveló el PCA en la sesión 4 (rango 3 en 4 variables). El resto de correlaciones es débil: la duración se asocia levemente con la antigüedad (r = 0,22), es decir, las películas largas tienden a ser más antiguas, y no con el año agregado (r = 0,13). </w:t>
      </w:r>
      <w:r>
        <w:rPr>
          <w:b w:val="0"/>
          <w:i/>
        </w:rPr>
        <w:t>Esto es asociación lineal, no causalidad.</w:t>
      </w:r>
      <w:r>
        <w:rPr>
          <w:b w:val="0"/>
          <w:i w:val="0"/>
        </w:rPr>
        <w:t xml:space="preserve"> La duración mezcla minutos (películas) y temporadas (series), por eso solo se correlaciona en películas.</w:t>
      </w:r>
    </w:p>
    <w:p>
      <w:pPr>
        <w:keepNext/>
        <w:spacing w:after="40"/>
        <w:jc w:val="center"/>
      </w:pPr>
      <w:r>
        <w:drawing>
          <wp:inline xmlns:a="http://schemas.openxmlformats.org/drawingml/2006/main" xmlns:pic="http://schemas.openxmlformats.org/drawingml/2006/picture">
            <wp:extent cx="5212080" cy="3622418"/>
            <wp:docPr id="8" name="Picture 8"/>
            <wp:cNvGraphicFramePr>
              <a:graphicFrameLocks noChangeAspect="1"/>
            </wp:cNvGraphicFramePr>
            <a:graphic>
              <a:graphicData uri="http://schemas.openxmlformats.org/drawingml/2006/picture">
                <pic:pic>
                  <pic:nvPicPr>
                    <pic:cNvPr id="0" name="fig08_dispersion_lanzamiento_vs_agregado.png"/>
                    <pic:cNvPicPr/>
                  </pic:nvPicPr>
                  <pic:blipFill>
                    <a:blip r:embed="rId18"/>
                    <a:stretch>
                      <a:fillRect/>
                    </a:stretch>
                  </pic:blipFill>
                  <pic:spPr>
                    <a:xfrm>
                      <a:off x="0" y="0"/>
                      <a:ext cx="5212080" cy="3622418"/>
                    </a:xfrm>
                    <a:prstGeom prst="rect"/>
                  </pic:spPr>
                </pic:pic>
              </a:graphicData>
            </a:graphic>
          </wp:inline>
        </w:drawing>
      </w:r>
    </w:p>
    <w:p>
      <w:r>
        <w:rPr>
          <w:b/>
          <w:i w:val="0"/>
        </w:rPr>
        <w:t>Figura 8 · Interpretación.</w:t>
      </w:r>
      <w:r>
        <w:rPr>
          <w:b w:val="0"/>
          <w:i w:val="0"/>
        </w:rPr>
        <w:t xml:space="preserve"> Los puntos forman franjas horizontales entre 2016 y 2021: sea cual sea el año de lanzamiento (incluso décadas atrás), el título entra casi siempre en ese período. Solo en la esquina superior derecha tocan la diagonal: ahí están el 37% de títulos que llegan el mismo año de su estreno. Los 14 puntos naranja bajo la diagonal son los casos de antigüedad negativa: 12 series (cuyo </w:t>
      </w:r>
      <w:r>
        <w:rPr>
          <w:rFonts w:ascii="Consolas" w:hAnsi="Consolas"/>
          <w:b w:val="0"/>
          <w:i w:val="0"/>
          <w:sz w:val="19"/>
        </w:rPr>
        <w:t>release_year</w:t>
      </w:r>
      <w:r>
        <w:rPr>
          <w:b w:val="0"/>
          <w:i w:val="0"/>
        </w:rPr>
        <w:t xml:space="preserve"> registra la temporada más reciente) y 2 películas (probables errores de captura). La correlación de Spearman entre ambos años es moderada (ρ = 0,37, calculada en la celda), porque el año de incorporación casi no depende del año de lanzamiento.</w:t>
      </w:r>
    </w:p>
    <w:p>
      <w:pPr>
        <w:keepNext/>
        <w:spacing w:after="40"/>
        <w:jc w:val="center"/>
      </w:pPr>
      <w:r>
        <w:drawing>
          <wp:inline xmlns:a="http://schemas.openxmlformats.org/drawingml/2006/main" xmlns:pic="http://schemas.openxmlformats.org/drawingml/2006/picture">
            <wp:extent cx="5212080" cy="2663951"/>
            <wp:docPr id="9" name="Picture 9"/>
            <wp:cNvGraphicFramePr>
              <a:graphicFrameLocks noChangeAspect="1"/>
            </wp:cNvGraphicFramePr>
            <a:graphic>
              <a:graphicData uri="http://schemas.openxmlformats.org/drawingml/2006/picture">
                <pic:pic>
                  <pic:nvPicPr>
                    <pic:cNvPr id="0" name="fig09_boxplot_antiguedad_por_tipo.png"/>
                    <pic:cNvPicPr/>
                  </pic:nvPicPr>
                  <pic:blipFill>
                    <a:blip r:embed="rId19"/>
                    <a:stretch>
                      <a:fillRect/>
                    </a:stretch>
                  </pic:blipFill>
                  <pic:spPr>
                    <a:xfrm>
                      <a:off x="0" y="0"/>
                      <a:ext cx="5212080" cy="2663951"/>
                    </a:xfrm>
                    <a:prstGeom prst="rect"/>
                  </pic:spPr>
                </pic:pic>
              </a:graphicData>
            </a:graphic>
          </wp:inline>
        </w:drawing>
      </w:r>
    </w:p>
    <w:p>
      <w:r>
        <w:rPr>
          <w:b/>
          <w:i w:val="0"/>
        </w:rPr>
        <w:t>Figura 9 · Interpretación.</w:t>
      </w:r>
      <w:r>
        <w:rPr>
          <w:b w:val="0"/>
          <w:i w:val="0"/>
        </w:rPr>
        <w:t xml:space="preserve"> La mediana de antigüedad es </w:t>
      </w:r>
      <w:r>
        <w:rPr>
          <w:b/>
          <w:i w:val="0"/>
        </w:rPr>
        <w:t>0 años en series y 2 en películas</w:t>
      </w:r>
      <w:r>
        <w:rPr>
          <w:b w:val="0"/>
          <w:i w:val="0"/>
        </w:rPr>
        <w:t>; 52% de las series se agrega el mismo año de su lanzamiento frente a 30% de las películas. Las películas tienen además la cola larga de clásicos. La diferencia es estadísticamente significativa (Mann-Whitney, p &lt; 0,001).</w:t>
      </w:r>
    </w:p>
    <w:p>
      <w:pPr>
        <w:keepNext/>
        <w:spacing w:after="40"/>
        <w:jc w:val="center"/>
      </w:pPr>
      <w:r>
        <w:drawing>
          <wp:inline xmlns:a="http://schemas.openxmlformats.org/drawingml/2006/main" xmlns:pic="http://schemas.openxmlformats.org/drawingml/2006/picture">
            <wp:extent cx="5212080" cy="2817687"/>
            <wp:docPr id="10" name="Picture 10"/>
            <wp:cNvGraphicFramePr>
              <a:graphicFrameLocks noChangeAspect="1"/>
            </wp:cNvGraphicFramePr>
            <a:graphic>
              <a:graphicData uri="http://schemas.openxmlformats.org/drawingml/2006/picture">
                <pic:pic>
                  <pic:nvPicPr>
                    <pic:cNvPr id="0" name="fig10_clasificacion_por_tipo.png"/>
                    <pic:cNvPicPr/>
                  </pic:nvPicPr>
                  <pic:blipFill>
                    <a:blip r:embed="rId20"/>
                    <a:stretch>
                      <a:fillRect/>
                    </a:stretch>
                  </pic:blipFill>
                  <pic:spPr>
                    <a:xfrm>
                      <a:off x="0" y="0"/>
                      <a:ext cx="5212080" cy="2817687"/>
                    </a:xfrm>
                    <a:prstGeom prst="rect"/>
                  </pic:spPr>
                </pic:pic>
              </a:graphicData>
            </a:graphic>
          </wp:inline>
        </w:drawing>
      </w:r>
    </w:p>
    <w:p>
      <w:r>
        <w:rPr>
          <w:b/>
          <w:i w:val="0"/>
        </w:rPr>
        <w:t>Figura 10 · Interpretación.</w:t>
      </w:r>
      <w:r>
        <w:rPr>
          <w:b w:val="0"/>
          <w:i w:val="0"/>
        </w:rPr>
        <w:t xml:space="preserve"> Cruce de </w:t>
      </w:r>
      <w:r>
        <w:rPr>
          <w:rFonts w:ascii="Consolas" w:hAnsi="Consolas"/>
          <w:b w:val="0"/>
          <w:i w:val="0"/>
          <w:sz w:val="19"/>
        </w:rPr>
        <w:t>rating</w:t>
      </w:r>
      <w:r>
        <w:rPr>
          <w:b w:val="0"/>
          <w:i w:val="0"/>
        </w:rPr>
        <w:t xml:space="preserve"> con </w:t>
      </w:r>
      <w:r>
        <w:rPr>
          <w:rFonts w:ascii="Consolas" w:hAnsi="Consolas"/>
          <w:b w:val="0"/>
          <w:i w:val="0"/>
          <w:sz w:val="19"/>
        </w:rPr>
        <w:t>type</w:t>
      </w:r>
      <w:r>
        <w:rPr>
          <w:b w:val="0"/>
          <w:i w:val="0"/>
        </w:rPr>
        <w:t>. PG, PG-13 y R pertenecen casi por completo a películas (clasificaciones de cine), mientras que TV-Y (57% series) y TV-Y7 (58%) son mayoritariamente series: el contenido infantil de Netflix es sobre todo serializado. TV-MA se reparte 64% películas y 36% series.</w:t>
      </w:r>
    </w:p>
    <w:p>
      <w:pPr>
        <w:keepNext/>
        <w:spacing w:after="40"/>
        <w:jc w:val="center"/>
      </w:pPr>
      <w:r>
        <w:drawing>
          <wp:inline xmlns:a="http://schemas.openxmlformats.org/drawingml/2006/main" xmlns:pic="http://schemas.openxmlformats.org/drawingml/2006/picture">
            <wp:extent cx="5212080" cy="2666848"/>
            <wp:docPr id="11" name="Picture 11"/>
            <wp:cNvGraphicFramePr>
              <a:graphicFrameLocks noChangeAspect="1"/>
            </wp:cNvGraphicFramePr>
            <a:graphic>
              <a:graphicData uri="http://schemas.openxmlformats.org/drawingml/2006/picture">
                <pic:pic>
                  <pic:nvPicPr>
                    <pic:cNvPr id="0" name="fig11_internacionalizacion.png"/>
                    <pic:cNvPicPr/>
                  </pic:nvPicPr>
                  <pic:blipFill>
                    <a:blip r:embed="rId21"/>
                    <a:stretch>
                      <a:fillRect/>
                    </a:stretch>
                  </pic:blipFill>
                  <pic:spPr>
                    <a:xfrm>
                      <a:off x="0" y="0"/>
                      <a:ext cx="5212080" cy="2666848"/>
                    </a:xfrm>
                    <a:prstGeom prst="rect"/>
                  </pic:spPr>
                </pic:pic>
              </a:graphicData>
            </a:graphic>
          </wp:inline>
        </w:drawing>
      </w:r>
    </w:p>
    <w:p>
      <w:r>
        <w:rPr>
          <w:b/>
          <w:i w:val="0"/>
        </w:rPr>
        <w:t>Figura 11 · Interpretación.</w:t>
      </w:r>
      <w:r>
        <w:rPr>
          <w:b w:val="0"/>
          <w:i w:val="0"/>
        </w:rPr>
        <w:t xml:space="preserve"> Definimos la variable nueva </w:t>
      </w:r>
      <w:r>
        <w:rPr>
          <w:rFonts w:ascii="Consolas" w:hAnsi="Consolas"/>
          <w:b w:val="0"/>
          <w:i w:val="0"/>
          <w:sz w:val="19"/>
        </w:rPr>
        <w:t>prod_internacional</w:t>
      </w:r>
      <w:r>
        <w:rPr>
          <w:b w:val="0"/>
          <w:i w:val="0"/>
        </w:rPr>
        <w:t xml:space="preserve"> (el primer país listado no es Estados Unidos ni "Desconocido"). Pasó de 30% en 2015 a 62% en 2018, y se mantiene entre 54% y 56% en 2019-2020. El 40% de 2021 no se interpreta como retroceso: ese año el país desconocido sube a 24% de los títulos (entre 4% y 8% en 2016-2019) y el año está incompleto.</w:t>
      </w:r>
    </w:p>
    <w:p>
      <w:pPr>
        <w:keepNext/>
        <w:spacing w:after="40"/>
        <w:jc w:val="center"/>
      </w:pPr>
      <w:r>
        <w:drawing>
          <wp:inline xmlns:a="http://schemas.openxmlformats.org/drawingml/2006/main" xmlns:pic="http://schemas.openxmlformats.org/drawingml/2006/picture">
            <wp:extent cx="5212080" cy="3073998"/>
            <wp:docPr id="12" name="Picture 12"/>
            <wp:cNvGraphicFramePr>
              <a:graphicFrameLocks noChangeAspect="1"/>
            </wp:cNvGraphicFramePr>
            <a:graphic>
              <a:graphicData uri="http://schemas.openxmlformats.org/drawingml/2006/picture">
                <pic:pic>
                  <pic:nvPicPr>
                    <pic:cNvPr id="0" name="fig12_genero_por_periodo.png"/>
                    <pic:cNvPicPr/>
                  </pic:nvPicPr>
                  <pic:blipFill>
                    <a:blip r:embed="rId22"/>
                    <a:stretch>
                      <a:fillRect/>
                    </a:stretch>
                  </pic:blipFill>
                  <pic:spPr>
                    <a:xfrm>
                      <a:off x="0" y="0"/>
                      <a:ext cx="5212080" cy="3073998"/>
                    </a:xfrm>
                    <a:prstGeom prst="rect"/>
                  </pic:spPr>
                </pic:pic>
              </a:graphicData>
            </a:graphic>
          </wp:inline>
        </w:drawing>
      </w:r>
    </w:p>
    <w:p>
      <w:r>
        <w:rPr>
          <w:b/>
          <w:i w:val="0"/>
        </w:rPr>
        <w:t>Figura 12 · Interpretación.</w:t>
      </w:r>
      <w:r>
        <w:rPr>
          <w:b w:val="0"/>
          <w:i w:val="0"/>
        </w:rPr>
        <w:t xml:space="preserve"> Cada celda es el % de títulos del período que tiene ese género (un título puede tener varios). </w:t>
      </w:r>
      <w:r>
        <w:rPr>
          <w:b w:val="0"/>
          <w:i/>
        </w:rPr>
        <w:t>International Movies</w:t>
      </w:r>
      <w:r>
        <w:rPr>
          <w:b w:val="0"/>
          <w:i w:val="0"/>
        </w:rPr>
        <w:t xml:space="preserve"> pasa de 10,1% a 35,1% y se mantiene en 29,5%; </w:t>
      </w:r>
      <w:r>
        <w:rPr>
          <w:b w:val="0"/>
          <w:i/>
        </w:rPr>
        <w:t>International TV Shows</w:t>
      </w:r>
      <w:r>
        <w:rPr>
          <w:b w:val="0"/>
          <w:i w:val="0"/>
        </w:rPr>
        <w:t xml:space="preserve"> de 2,9% a 15,6%. </w:t>
      </w:r>
      <w:r>
        <w:rPr>
          <w:b w:val="0"/>
          <w:i/>
        </w:rPr>
        <w:t>Documentaries</w:t>
      </w:r>
      <w:r>
        <w:rPr>
          <w:b w:val="0"/>
          <w:i w:val="0"/>
        </w:rPr>
        <w:t xml:space="preserve"> cae de 16,7% a 7,5%. </w:t>
      </w:r>
      <w:r>
        <w:rPr>
          <w:b w:val="0"/>
          <w:i/>
        </w:rPr>
        <w:t>Comedies</w:t>
      </w:r>
      <w:r>
        <w:rPr>
          <w:b w:val="0"/>
          <w:i w:val="0"/>
        </w:rPr>
        <w:t xml:space="preserve"> crece de 12,3% a 21,0%. Precaución: el período 2008-2015 tiene solo 138 títulos.</w:t>
      </w:r>
    </w:p>
    <w:p>
      <w:pPr>
        <w:keepNext/>
        <w:spacing w:after="40"/>
        <w:jc w:val="center"/>
      </w:pPr>
      <w:r>
        <w:drawing>
          <wp:inline xmlns:a="http://schemas.openxmlformats.org/drawingml/2006/main" xmlns:pic="http://schemas.openxmlformats.org/drawingml/2006/picture">
            <wp:extent cx="5212080" cy="2444413"/>
            <wp:docPr id="13" name="Picture 13"/>
            <wp:cNvGraphicFramePr>
              <a:graphicFrameLocks noChangeAspect="1"/>
            </wp:cNvGraphicFramePr>
            <a:graphic>
              <a:graphicData uri="http://schemas.openxmlformats.org/drawingml/2006/picture">
                <pic:pic>
                  <pic:nvPicPr>
                    <pic:cNvPr id="0" name="fig13_valoracion_por_genero.png"/>
                    <pic:cNvPicPr/>
                  </pic:nvPicPr>
                  <pic:blipFill>
                    <a:blip r:embed="rId23"/>
                    <a:stretch>
                      <a:fillRect/>
                    </a:stretch>
                  </pic:blipFill>
                  <pic:spPr>
                    <a:xfrm>
                      <a:off x="0" y="0"/>
                      <a:ext cx="5212080" cy="2444413"/>
                    </a:xfrm>
                    <a:prstGeom prst="rect"/>
                  </pic:spPr>
                </pic:pic>
              </a:graphicData>
            </a:graphic>
          </wp:inline>
        </w:drawing>
      </w:r>
    </w:p>
    <w:p>
      <w:r>
        <w:rPr>
          <w:b/>
          <w:i w:val="0"/>
        </w:rPr>
        <w:t>Figura 13 · Interpretación.</w:t>
      </w:r>
      <w:r>
        <w:rPr>
          <w:b w:val="0"/>
          <w:i w:val="0"/>
        </w:rPr>
        <w:t xml:space="preserve"> Se cruzan ambos datasets por título (137 coincidencias exactas). Los géneros mejor valorados son </w:t>
      </w:r>
      <w:r>
        <w:rPr>
          <w:b w:val="0"/>
          <w:i/>
        </w:rPr>
        <w:t>Romantic TV Shows</w:t>
      </w:r>
      <w:r>
        <w:rPr>
          <w:b w:val="0"/>
          <w:i w:val="0"/>
        </w:rPr>
        <w:t xml:space="preserve"> (93,7, n=6), </w:t>
      </w:r>
      <w:r>
        <w:rPr>
          <w:b w:val="0"/>
          <w:i/>
        </w:rPr>
        <w:t>TV Sci-Fi &amp; Fantasy</w:t>
      </w:r>
      <w:r>
        <w:rPr>
          <w:b w:val="0"/>
          <w:i w:val="0"/>
        </w:rPr>
        <w:t xml:space="preserve"> (90,9) y </w:t>
      </w:r>
      <w:r>
        <w:rPr>
          <w:b w:val="0"/>
          <w:i/>
        </w:rPr>
        <w:t>Crime TV Shows</w:t>
      </w:r>
      <w:r>
        <w:rPr>
          <w:b w:val="0"/>
          <w:i w:val="0"/>
        </w:rPr>
        <w:t xml:space="preserve"> (90,0, n=30); los peores, </w:t>
      </w:r>
      <w:r>
        <w:rPr>
          <w:b w:val="0"/>
          <w:i/>
        </w:rPr>
        <w:t>Kids' TV</w:t>
      </w:r>
      <w:r>
        <w:rPr>
          <w:b w:val="0"/>
          <w:i w:val="0"/>
        </w:rPr>
        <w:t xml:space="preserve"> (76,6, n=20) y </w:t>
      </w:r>
      <w:r>
        <w:rPr>
          <w:b w:val="0"/>
          <w:i/>
        </w:rPr>
        <w:t>Dramas</w:t>
      </w:r>
      <w:r>
        <w:rPr>
          <w:b w:val="0"/>
          <w:i w:val="0"/>
        </w:rPr>
        <w:t xml:space="preserve"> (77,1, n=7). </w:t>
      </w:r>
      <w:r>
        <w:rPr>
          <w:b/>
          <w:i w:val="0"/>
        </w:rPr>
        <w:t>Cuidado:</w:t>
      </w:r>
      <w:r>
        <w:rPr>
          <w:b w:val="0"/>
          <w:i w:val="0"/>
        </w:rPr>
        <w:t xml:space="preserve"> varios géneros tienen entre 5 y 12 títulos, así que sus promedios son poco estables. Los más confiables son los de n ≥ 20 (Crime TV, TV Dramas, TV Comedies, Kids' TV). Es asociación con el género, no causalidad.</w:t>
      </w:r>
    </w:p>
    <w:p>
      <w:pPr>
        <w:pStyle w:val="Heading2"/>
      </w:pPr>
      <w:r>
        <w:t>4.1 · Hipótesis nuevas validadas con datos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Pr>
      <w:tblGrid>
        <w:gridCol w:w="3744"/>
        <w:gridCol w:w="3456"/>
        <w:gridCol w:w="2304"/>
      </w:tblGrid>
      <w:tr>
        <w:trPr>
          <w:cantSplit/>
        </w:trPr>
        <w:tc>
          <w:tcPr>
            <w:tcW w:type="dxa" w:w="3744"/>
            <w:shd w:val="clear" w:color="auto" w:fill="2F4B8A"/>
          </w:tcPr>
          <w:p>
            <w:pPr>
              <w:spacing w:after="0"/>
            </w:pPr>
            <w:r/>
            <w:r>
              <w:rPr>
                <w:b/>
                <w:i w:val="0"/>
                <w:color w:val="FFFFFF"/>
                <w:sz w:val="17"/>
              </w:rPr>
              <w:t>Hipótesis</w:t>
            </w:r>
          </w:p>
        </w:tc>
        <w:tc>
          <w:tcPr>
            <w:tcW w:type="dxa" w:w="3456"/>
            <w:shd w:val="clear" w:color="auto" w:fill="2F4B8A"/>
          </w:tcPr>
          <w:p>
            <w:r/>
            <w:r>
              <w:rPr>
                <w:b/>
                <w:i w:val="0"/>
                <w:color w:val="FFFFFF"/>
                <w:sz w:val="17"/>
              </w:rPr>
              <w:t>Resultado</w:t>
            </w:r>
          </w:p>
        </w:tc>
        <w:tc>
          <w:tcPr>
            <w:tcW w:type="dxa" w:w="2304"/>
            <w:shd w:val="clear" w:color="auto" w:fill="2F4B8A"/>
          </w:tcPr>
          <w:p>
            <w:r/>
            <w:r>
              <w:rPr>
                <w:b/>
                <w:i w:val="0"/>
                <w:color w:val="FFFFFF"/>
                <w:sz w:val="17"/>
              </w:rPr>
              <w:t>Conclusión</w:t>
            </w:r>
          </w:p>
        </w:tc>
      </w:tr>
      <w:tr>
        <w:trPr>
          <w:cantSplit/>
        </w:trPr>
        <w:tc>
          <w:tcPr>
            <w:tcW w:type="dxa" w:w="3744"/>
          </w:tcPr>
          <w:p>
            <w:pPr>
              <w:spacing w:after="0"/>
            </w:pPr>
            <w:r/>
            <w:r>
              <w:rPr>
                <w:b/>
                <w:i w:val="0"/>
                <w:sz w:val="17"/>
              </w:rPr>
              <w:t>H1</w:t>
            </w:r>
            <w:r>
              <w:rPr>
                <w:b w:val="0"/>
                <w:i w:val="0"/>
                <w:sz w:val="17"/>
              </w:rPr>
              <w:t xml:space="preserve"> Las series llegan a Netflix más cerca de su estreno que las películas</w:t>
            </w:r>
          </w:p>
        </w:tc>
        <w:tc>
          <w:tcPr>
            <w:tcW w:type="dxa" w:w="3456"/>
          </w:tcPr>
          <w:p>
            <w:pPr>
              <w:spacing w:after="0"/>
            </w:pPr>
            <w:r/>
            <w:r>
              <w:rPr>
                <w:b w:val="0"/>
                <w:i w:val="0"/>
                <w:sz w:val="17"/>
              </w:rPr>
              <w:t>Mediana 0 vs 2 años; Mann-Whitney p &lt; 0,001</w:t>
            </w:r>
          </w:p>
        </w:tc>
        <w:tc>
          <w:tcPr>
            <w:tcW w:type="dxa" w:w="2304"/>
          </w:tcPr>
          <w:p>
            <w:pPr>
              <w:spacing w:after="0"/>
            </w:pPr>
            <w:r/>
            <w:r>
              <w:rPr>
                <w:b/>
                <w:i w:val="0"/>
                <w:sz w:val="17"/>
              </w:rPr>
              <w:t>Se confirma</w:t>
            </w:r>
          </w:p>
        </w:tc>
      </w:tr>
      <w:tr>
        <w:trPr>
          <w:cantSplit/>
        </w:trPr>
        <w:tc>
          <w:tcPr>
            <w:tcW w:type="dxa" w:w="3744"/>
            <w:shd w:val="clear" w:color="auto" w:fill="F2F4F8"/>
          </w:tcPr>
          <w:p>
            <w:pPr>
              <w:spacing w:after="0"/>
            </w:pPr>
            <w:r/>
            <w:r>
              <w:rPr>
                <w:b/>
                <w:i w:val="0"/>
                <w:sz w:val="17"/>
              </w:rPr>
              <w:t>H2</w:t>
            </w:r>
            <w:r>
              <w:rPr>
                <w:b w:val="0"/>
                <w:i w:val="0"/>
                <w:sz w:val="17"/>
              </w:rPr>
              <w:t xml:space="preserve"> La producción no estadounidense creció desde 2016</w:t>
            </w:r>
          </w:p>
        </w:tc>
        <w:tc>
          <w:tcPr>
            <w:tcW w:type="dxa" w:w="3456"/>
            <w:shd w:val="clear" w:color="auto" w:fill="F2F4F8"/>
          </w:tcPr>
          <w:p>
            <w:pPr>
              <w:spacing w:after="0"/>
            </w:pPr>
            <w:r/>
            <w:r>
              <w:rPr>
                <w:b w:val="0"/>
                <w:i w:val="0"/>
                <w:sz w:val="17"/>
              </w:rPr>
              <w:t>23,9% (2008-2015, n=138) → 54,6% (2016-2021, n=8.659); χ² p &lt; 0,001</w:t>
            </w:r>
          </w:p>
        </w:tc>
        <w:tc>
          <w:tcPr>
            <w:tcW w:type="dxa" w:w="2304"/>
            <w:shd w:val="clear" w:color="auto" w:fill="F2F4F8"/>
          </w:tcPr>
          <w:p>
            <w:pPr>
              <w:spacing w:after="0"/>
            </w:pPr>
            <w:r/>
            <w:r>
              <w:rPr>
                <w:b/>
                <w:i w:val="0"/>
                <w:sz w:val="17"/>
              </w:rPr>
              <w:t>Se confirma</w:t>
            </w:r>
            <w:r>
              <w:rPr>
                <w:b w:val="0"/>
                <w:i w:val="0"/>
                <w:sz w:val="17"/>
              </w:rPr>
              <w:t xml:space="preserve"> (con muestra pequeña en el período inicial)</w:t>
            </w:r>
          </w:p>
        </w:tc>
      </w:tr>
      <w:tr>
        <w:trPr>
          <w:cantSplit/>
        </w:trPr>
        <w:tc>
          <w:tcPr>
            <w:tcW w:type="dxa" w:w="3744"/>
          </w:tcPr>
          <w:p>
            <w:pPr>
              <w:spacing w:after="0"/>
            </w:pPr>
            <w:r/>
            <w:r>
              <w:rPr>
                <w:b/>
                <w:i w:val="0"/>
                <w:sz w:val="17"/>
              </w:rPr>
              <w:t>H3</w:t>
            </w:r>
            <w:r>
              <w:rPr>
                <w:b w:val="0"/>
                <w:i w:val="0"/>
                <w:sz w:val="17"/>
              </w:rPr>
              <w:t xml:space="preserve"> El contenido para adultos (TV-MA, R, NC-17) pesa más en películas</w:t>
            </w:r>
          </w:p>
        </w:tc>
        <w:tc>
          <w:tcPr>
            <w:tcW w:type="dxa" w:w="3456"/>
          </w:tcPr>
          <w:p>
            <w:pPr>
              <w:spacing w:after="0"/>
            </w:pPr>
            <w:r/>
            <w:r>
              <w:rPr>
                <w:b w:val="0"/>
                <w:i w:val="0"/>
                <w:sz w:val="17"/>
              </w:rPr>
              <w:t>46,7% vs 42,9%; χ² p = 0,001</w:t>
            </w:r>
          </w:p>
        </w:tc>
        <w:tc>
          <w:tcPr>
            <w:tcW w:type="dxa" w:w="2304"/>
          </w:tcPr>
          <w:p>
            <w:pPr>
              <w:spacing w:after="0"/>
            </w:pPr>
            <w:r/>
            <w:r>
              <w:rPr>
                <w:b/>
                <w:i w:val="0"/>
                <w:sz w:val="17"/>
              </w:rPr>
              <w:t>Se confirma</w:t>
            </w:r>
            <w:r>
              <w:rPr>
                <w:b w:val="0"/>
                <w:i w:val="0"/>
                <w:sz w:val="17"/>
              </w:rPr>
              <w:t>, pero la diferencia es pequeña (≈4 puntos)</w:t>
            </w:r>
          </w:p>
        </w:tc>
      </w:tr>
      <w:tr>
        <w:trPr>
          <w:cantSplit/>
        </w:trPr>
        <w:tc>
          <w:tcPr>
            <w:tcW w:type="dxa" w:w="3744"/>
            <w:shd w:val="clear" w:color="auto" w:fill="F2F4F8"/>
          </w:tcPr>
          <w:p>
            <w:pPr>
              <w:spacing w:after="0"/>
            </w:pPr>
            <w:r/>
            <w:r>
              <w:rPr>
                <w:b/>
                <w:i w:val="0"/>
                <w:sz w:val="17"/>
              </w:rPr>
              <w:t>H4</w:t>
            </w:r>
            <w:r>
              <w:rPr>
                <w:b w:val="0"/>
                <w:i w:val="0"/>
                <w:sz w:val="17"/>
              </w:rPr>
              <w:t xml:space="preserve"> Las series se valoran mejor que las películas</w:t>
            </w:r>
          </w:p>
        </w:tc>
        <w:tc>
          <w:tcPr>
            <w:tcW w:type="dxa" w:w="3456"/>
            <w:shd w:val="clear" w:color="auto" w:fill="F2F4F8"/>
          </w:tcPr>
          <w:p>
            <w:pPr>
              <w:spacing w:after="0"/>
            </w:pPr>
            <w:r/>
            <w:r>
              <w:rPr>
                <w:b w:val="0"/>
                <w:i w:val="0"/>
                <w:sz w:val="17"/>
              </w:rPr>
              <w:t>84,3 (n=108) vs 80,8 (n=29); p = 0,08</w:t>
            </w:r>
          </w:p>
        </w:tc>
        <w:tc>
          <w:tcPr>
            <w:tcW w:type="dxa" w:w="2304"/>
            <w:shd w:val="clear" w:color="auto" w:fill="F2F4F8"/>
          </w:tcPr>
          <w:p>
            <w:pPr>
              <w:spacing w:after="0"/>
            </w:pPr>
            <w:r/>
            <w:r>
              <w:rPr>
                <w:b/>
                <w:i w:val="0"/>
                <w:sz w:val="17"/>
              </w:rPr>
              <w:t>No se confirma:</w:t>
            </w:r>
            <w:r>
              <w:rPr>
                <w:b w:val="0"/>
                <w:i w:val="0"/>
                <w:sz w:val="17"/>
              </w:rPr>
              <w:t xml:space="preserve"> la muestra de películas es muy pequeña</w:t>
            </w:r>
          </w:p>
        </w:tc>
      </w:tr>
    </w:tbl>
    <w:p>
      <w:pPr>
        <w:spacing w:after="40"/>
      </w:pPr>
    </w:p>
    <w:p>
      <w:r>
        <w:rPr>
          <w:b/>
          <w:i w:val="0"/>
        </w:rPr>
        <w:t>Variables nuevas propuestas:</w:t>
      </w:r>
      <w:r>
        <w:rPr>
          <w:b w:val="0"/>
          <w:i w:val="0"/>
        </w:rPr>
        <w:t xml:space="preserve"> </w:t>
      </w:r>
      <w:r>
        <w:rPr>
          <w:rFonts w:ascii="Consolas" w:hAnsi="Consolas"/>
          <w:b w:val="0"/>
          <w:i w:val="0"/>
          <w:sz w:val="19"/>
        </w:rPr>
        <w:t>prod_internacional</w:t>
      </w:r>
      <w:r>
        <w:rPr>
          <w:b w:val="0"/>
          <w:i w:val="0"/>
        </w:rPr>
        <w:t xml:space="preserve"> (primer país distinto de EE. UU. y de "Desconocido") y </w:t>
      </w:r>
      <w:r>
        <w:rPr>
          <w:rFonts w:ascii="Consolas" w:hAnsi="Consolas"/>
          <w:b w:val="0"/>
          <w:i w:val="0"/>
          <w:sz w:val="19"/>
        </w:rPr>
        <w:t>rating_adulto</w:t>
      </w:r>
      <w:r>
        <w:rPr>
          <w:b w:val="0"/>
          <w:i w:val="0"/>
        </w:rPr>
        <w:t xml:space="preserve"> (TV-MA, R o NC-17), ambas construidas a partir de </w:t>
      </w:r>
      <w:r>
        <w:rPr>
          <w:rFonts w:ascii="Consolas" w:hAnsi="Consolas"/>
          <w:b w:val="0"/>
          <w:i w:val="0"/>
          <w:sz w:val="19"/>
        </w:rPr>
        <w:t>country</w:t>
      </w:r>
      <w:r>
        <w:rPr>
          <w:b w:val="0"/>
          <w:i w:val="0"/>
        </w:rPr>
        <w:t xml:space="preserve"> y </w:t>
      </w:r>
      <w:r>
        <w:rPr>
          <w:rFonts w:ascii="Consolas" w:hAnsi="Consolas"/>
          <w:b w:val="0"/>
          <w:i w:val="0"/>
          <w:sz w:val="19"/>
        </w:rPr>
        <w:t>rating</w:t>
      </w:r>
      <w:r>
        <w:rPr>
          <w:b w:val="0"/>
          <w:i w:val="0"/>
        </w:rPr>
        <w:t>.</w:t>
      </w:r>
    </w:p>
    <w:p>
      <w:pPr>
        <w:pStyle w:val="Heading1"/>
      </w:pPr>
      <w:r>
        <w:t>5 · Hallazgos y recomendaciones</w:t>
      </w:r>
    </w:p>
    <w:p>
      <w:r>
        <w:rPr>
          <w:b/>
          <w:i w:val="0"/>
        </w:rPr>
        <w:t>Hallazgo 1 · Netflix pasó de un catálogo estadounidense a uno internacional.</w:t>
      </w:r>
    </w:p>
    <w:p>
      <w:pPr>
        <w:ind w:left="340"/>
      </w:pPr>
      <w:r>
        <w:rPr>
          <w:b w:val="0"/>
          <w:i/>
        </w:rPr>
        <w:t>Evidencia:</w:t>
      </w:r>
      <w:r>
        <w:rPr>
          <w:b w:val="0"/>
          <w:i w:val="0"/>
        </w:rPr>
        <w:t xml:space="preserve"> la producción no estadounidense pasó de 24% (2008-2015) a 55% (2016-2021) y </w:t>
      </w:r>
      <w:r>
        <w:rPr>
          <w:b w:val="0"/>
          <w:i/>
        </w:rPr>
        <w:t>International Movies</w:t>
      </w:r>
      <w:r>
        <w:rPr>
          <w:b w:val="0"/>
          <w:i w:val="0"/>
        </w:rPr>
        <w:t xml:space="preserve"> de 10% a 35% de los títulos incorporados (Figuras 11 y 12).</w:t>
      </w:r>
    </w:p>
    <w:p>
      <w:pPr>
        <w:ind w:left="340"/>
      </w:pPr>
      <w:r>
        <w:rPr>
          <w:b w:val="0"/>
          <w:i/>
        </w:rPr>
        <w:t>Acción:</w:t>
      </w:r>
      <w:r>
        <w:rPr>
          <w:b w:val="0"/>
          <w:i w:val="0"/>
        </w:rPr>
        <w:t xml:space="preserve"> reforzar subtítulos, doblaje y recomendaciones por idioma y país, y evaluar más producción local en los países que siguen al líder (India, Reino Unido, Canadá).</w:t>
      </w:r>
    </w:p>
    <w:p>
      <w:r>
        <w:rPr>
          <w:b/>
          <w:i w:val="0"/>
        </w:rPr>
        <w:t>Hallazgo 2 · Las series llegan casi estrenadas; las películas llegan con rezago.</w:t>
      </w:r>
    </w:p>
    <w:p>
      <w:pPr>
        <w:ind w:left="340"/>
      </w:pPr>
      <w:r>
        <w:rPr>
          <w:b w:val="0"/>
          <w:i/>
        </w:rPr>
        <w:t>Evidencia:</w:t>
      </w:r>
      <w:r>
        <w:rPr>
          <w:b w:val="0"/>
          <w:i w:val="0"/>
        </w:rPr>
        <w:t xml:space="preserve"> 52% de las series se agrega el mismo año de su lanzamiento frente a 30% de las películas; mediana de 0 vs 2 años (Figura 9).</w:t>
      </w:r>
    </w:p>
    <w:p>
      <w:pPr>
        <w:ind w:left="340"/>
      </w:pPr>
      <w:r>
        <w:rPr>
          <w:b w:val="0"/>
          <w:i/>
        </w:rPr>
        <w:t>Acción:</w:t>
      </w:r>
      <w:r>
        <w:rPr>
          <w:b w:val="0"/>
          <w:i w:val="0"/>
        </w:rPr>
        <w:t xml:space="preserve"> tratar la fecha de incorporación de una serie como su fecha de estreno en las campañas de lanzamiento, y usar el catálogo de películas antiguas para campañas de redescubrimiento.</w:t>
      </w:r>
    </w:p>
    <w:p>
      <w:r>
        <w:rPr>
          <w:b/>
          <w:i w:val="0"/>
        </w:rPr>
        <w:t>Hallazgo 3 · El crecimiento del catálogo se frenó después de 2019.</w:t>
      </w:r>
    </w:p>
    <w:p>
      <w:pPr>
        <w:ind w:left="340"/>
      </w:pPr>
      <w:r>
        <w:rPr>
          <w:b w:val="0"/>
          <w:i/>
        </w:rPr>
        <w:t>Evidencia:</w:t>
      </w:r>
      <w:r>
        <w:rPr>
          <w:b w:val="0"/>
          <w:i w:val="0"/>
        </w:rPr>
        <w:t xml:space="preserve"> 2.016 títulos agregados en 2019 y 1.879 en 2020 (−6,8%); 2021 está incompleto (datos hasta 25/09/2021) (Figura 4).</w:t>
      </w:r>
    </w:p>
    <w:p>
      <w:pPr>
        <w:ind w:left="340"/>
      </w:pPr>
      <w:r>
        <w:rPr>
          <w:b w:val="0"/>
          <w:i/>
        </w:rPr>
        <w:t>Acción:</w:t>
      </w:r>
      <w:r>
        <w:rPr>
          <w:b w:val="0"/>
          <w:i w:val="0"/>
        </w:rPr>
        <w:t xml:space="preserve"> no proyectar el ritmo 2016-2019 hacia adelante; completar 2021 antes de decidir y vigilar si la desaceleración se confirma.</w:t>
      </w:r>
    </w:p>
    <w:p>
      <w:r>
        <w:rPr>
          <w:b/>
          <w:i w:val="0"/>
        </w:rPr>
        <w:t>Hallazgo 4 · Los géneros de series (crimen, drama, misterio) reciben las mejores valoraciones y el contenido infantil las peores, con una muestra pequeña.</w:t>
      </w:r>
    </w:p>
    <w:p>
      <w:pPr>
        <w:ind w:left="340"/>
      </w:pPr>
      <w:r>
        <w:rPr>
          <w:b w:val="0"/>
          <w:i/>
        </w:rPr>
        <w:t>Evidencia:</w:t>
      </w:r>
      <w:r>
        <w:rPr>
          <w:b w:val="0"/>
          <w:i w:val="0"/>
        </w:rPr>
        <w:t xml:space="preserve"> </w:t>
      </w:r>
      <w:r>
        <w:rPr>
          <w:b w:val="0"/>
          <w:i/>
        </w:rPr>
        <w:t>Crime TV Shows</w:t>
      </w:r>
      <w:r>
        <w:rPr>
          <w:b w:val="0"/>
          <w:i w:val="0"/>
        </w:rPr>
        <w:t xml:space="preserve"> 90,0 (n=30) y </w:t>
      </w:r>
      <w:r>
        <w:rPr>
          <w:b w:val="0"/>
          <w:i/>
        </w:rPr>
        <w:t>TV Dramas</w:t>
      </w:r>
      <w:r>
        <w:rPr>
          <w:b w:val="0"/>
          <w:i w:val="0"/>
        </w:rPr>
        <w:t xml:space="preserve"> 86,3 (n=60) frente a </w:t>
      </w:r>
      <w:r>
        <w:rPr>
          <w:b w:val="0"/>
          <w:i/>
        </w:rPr>
        <w:t>Kids' TV</w:t>
      </w:r>
      <w:r>
        <w:rPr>
          <w:b w:val="0"/>
          <w:i w:val="0"/>
        </w:rPr>
        <w:t xml:space="preserve"> 76,6 (n=20); promedio general 81,4 (Figura 13). La diferencia series vs películas no es significativa.</w:t>
      </w:r>
    </w:p>
    <w:p>
      <w:pPr>
        <w:ind w:left="340"/>
      </w:pPr>
      <w:r>
        <w:rPr>
          <w:b w:val="0"/>
          <w:i/>
        </w:rPr>
        <w:t>Acción:</w:t>
      </w:r>
      <w:r>
        <w:rPr>
          <w:b w:val="0"/>
          <w:i w:val="0"/>
        </w:rPr>
        <w:t xml:space="preserve"> no tomar decisiones de inversión con esta muestra (137 títulos cruzados); recolectar más valoraciones por género antes de priorizar.</w:t>
      </w:r>
    </w:p>
    <w:p>
      <w:r>
        <w:rPr>
          <w:b/>
          <w:i w:val="0"/>
        </w:rPr>
        <w:t>Hallazgo 5 · La calidad de los datos de entrada afecta los resultados.</w:t>
      </w:r>
    </w:p>
    <w:p>
      <w:pPr>
        <w:ind w:left="340"/>
      </w:pPr>
      <w:r>
        <w:rPr>
          <w:b w:val="0"/>
          <w:i/>
        </w:rPr>
        <w:t>Evidencia:</w:t>
      </w:r>
      <w:r>
        <w:rPr>
          <w:b w:val="0"/>
          <w:i w:val="0"/>
        </w:rPr>
        <w:t xml:space="preserve"> 88 fechas válidas se perdían por un espacio inicial, 3 clasificaciones traían la duración y 50% de las valoraciones eran duplicados.</w:t>
      </w:r>
    </w:p>
    <w:p>
      <w:pPr>
        <w:ind w:left="340"/>
      </w:pPr>
      <w:r>
        <w:rPr>
          <w:b w:val="0"/>
          <w:i/>
        </w:rPr>
        <w:t>Acción:</w:t>
      </w:r>
      <w:r>
        <w:rPr>
          <w:b w:val="0"/>
          <w:i w:val="0"/>
        </w:rPr>
        <w:t xml:space="preserve"> agregar validaciones al pipeline (</w:t>
      </w:r>
      <w:r>
        <w:rPr>
          <w:rFonts w:ascii="Consolas" w:hAnsi="Consolas"/>
          <w:b w:val="0"/>
          <w:i w:val="0"/>
          <w:sz w:val="19"/>
        </w:rPr>
        <w:t>strip()</w:t>
      </w:r>
      <w:r>
        <w:rPr>
          <w:b w:val="0"/>
          <w:i w:val="0"/>
        </w:rPr>
        <w:t xml:space="preserve"> en fechas, lista de clasificaciones válidas, control de duplicados) y dejarlas como pruebas automáticas.</w:t>
      </w:r>
    </w:p>
    <w:p>
      <w:pPr>
        <w:pStyle w:val="Heading1"/>
      </w:pPr>
      <w:r>
        <w:t>6 · Anexos</w:t>
      </w:r>
    </w:p>
    <w:p>
      <w:r>
        <w:rPr>
          <w:b/>
          <w:i w:val="0"/>
        </w:rPr>
        <w:t>Reproducir:</w:t>
      </w:r>
      <w:r>
        <w:rPr>
          <w:b w:val="0"/>
          <w:i w:val="0"/>
        </w:rPr>
        <w:t xml:space="preserve"> colocar </w:t>
      </w:r>
      <w:r>
        <w:rPr>
          <w:rFonts w:ascii="Consolas" w:hAnsi="Consolas"/>
          <w:b w:val="0"/>
          <w:i w:val="0"/>
          <w:sz w:val="19"/>
        </w:rPr>
        <w:t>netflix_titles.csv</w:t>
      </w:r>
      <w:r>
        <w:rPr>
          <w:b w:val="0"/>
          <w:i w:val="0"/>
        </w:rPr>
        <w:t xml:space="preserve"> y </w:t>
      </w:r>
      <w:r>
        <w:rPr>
          <w:rFonts w:ascii="Consolas" w:hAnsi="Consolas"/>
          <w:b w:val="0"/>
          <w:i w:val="0"/>
          <w:sz w:val="19"/>
        </w:rPr>
        <w:t>netflix.csv</w:t>
      </w:r>
      <w:r>
        <w:rPr>
          <w:b w:val="0"/>
          <w:i w:val="0"/>
        </w:rPr>
        <w:t xml:space="preserve"> en </w:t>
      </w:r>
      <w:r>
        <w:rPr>
          <w:rFonts w:ascii="Consolas" w:hAnsi="Consolas"/>
          <w:b w:val="0"/>
          <w:i w:val="0"/>
          <w:sz w:val="19"/>
        </w:rPr>
        <w:t>CSV/</w:t>
      </w:r>
      <w:r>
        <w:rPr>
          <w:b w:val="0"/>
          <w:i w:val="0"/>
        </w:rPr>
        <w:t xml:space="preserve">, instalar </w:t>
      </w:r>
      <w:r>
        <w:rPr>
          <w:rFonts w:ascii="Consolas" w:hAnsi="Consolas"/>
          <w:b w:val="0"/>
          <w:i w:val="0"/>
          <w:sz w:val="19"/>
        </w:rPr>
        <w:t>pandas matplotlib seaborn scipy</w:t>
      </w:r>
      <w:r>
        <w:rPr>
          <w:b w:val="0"/>
          <w:i w:val="0"/>
        </w:rPr>
        <w:t xml:space="preserve"> y ejecutar todas las celdas (</w:t>
      </w:r>
      <w:r>
        <w:rPr>
          <w:b w:val="0"/>
          <w:i/>
        </w:rPr>
        <w:t>Run All</w:t>
      </w:r>
      <w:r>
        <w:rPr>
          <w:b w:val="0"/>
          <w:i w:val="0"/>
        </w:rPr>
        <w:t xml:space="preserve">). Las figuras se guardan en </w:t>
      </w:r>
      <w:r>
        <w:rPr>
          <w:rFonts w:ascii="Consolas" w:hAnsi="Consolas"/>
          <w:b w:val="0"/>
          <w:i w:val="0"/>
          <w:sz w:val="19"/>
        </w:rPr>
        <w:t>figs/</w:t>
      </w:r>
      <w:r>
        <w:rPr>
          <w:b w:val="0"/>
          <w:i w:val="0"/>
        </w:rPr>
        <w:t>.</w:t>
      </w:r>
    </w:p>
    <w:p>
      <w:r>
        <w:rPr>
          <w:b/>
          <w:i w:val="0"/>
        </w:rPr>
        <w:t>Corrección pendiente en el proyecto (`LimpiadorDatos.convertirFecha`):</w:t>
      </w:r>
    </w:p>
    <w:p>
      <w:pPr>
        <w:ind w:left="283"/>
      </w:pPr>
      <w:r>
        <w:rPr>
          <w:rFonts w:ascii="Consolas" w:hAnsi="Consolas"/>
          <w:sz w:val="18"/>
        </w:rPr>
        <w:t>self.datos["date_added"] = pd.to_datetime(</w:t>
        <w:br/>
        <w:t xml:space="preserve">    self.datos["date_added"].str.strip(), errors="coerce", format="mixed")</w:t>
      </w:r>
    </w:p>
    <w:sectPr w:rsidR="00FC693F" w:rsidRPr="0006063C" w:rsidSect="00034616">
      <w:headerReference w:type="default" r:id="rId9"/>
      <w:footerReference w:type="default" r:id="rId10"/>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78"/>
        <w:sz w:val="17"/>
      </w:rPr>
      <w:t xml:space="preserve">Página </w:t>
    </w:r>
    <w:r>
      <w:rPr>
        <w:color w:val="5B66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678"/>
        <w:sz w:val="17"/>
      </w:rPr>
      <w:t>Informe EDA · Catálogo de Netflix · Minería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B24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2F4B8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2F4B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