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666666"/>
          <w:sz w:val="20"/>
          <w:szCs w:val="20"/>
        </w:rPr>
        <w:t xml:space="preserve">CORPORACIÓN UNIVERSITARIA MINUTO DE DIOS - UNIMINUTO</w:t>
      </w:r>
    </w:p>
    <w:p>
      <w:pPr>
        <w:spacing w:after="500"/>
        <w:jc w:val="center"/>
      </w:pPr>
      <w:r>
        <w:rPr>
          <w:color w:val="666666"/>
          <w:sz w:val="20"/>
          <w:szCs w:val="20"/>
        </w:rPr>
        <w:t xml:space="preserve">Ingeniería de Sistemas  |  Minería de Datos</w:t>
      </w:r>
    </w:p>
    <w:p>
      <w:pPr>
        <w:spacing w:after="200"/>
        <w:jc w:val="center"/>
      </w:pPr>
      <w:r>
        <w:rPr>
          <w:b/>
          <w:bCs/>
          <w:color w:val="E50914"/>
          <w:sz w:val="40"/>
          <w:szCs w:val="40"/>
        </w:rPr>
        <w:t xml:space="preserve">Documentación del Procesamiento de Datos</w:t>
      </w:r>
    </w:p>
    <w:p>
      <w:pPr>
        <w:spacing w:after="100"/>
        <w:jc w:val="center"/>
      </w:pPr>
      <w:r>
        <w:rPr>
          <w:b/>
          <w:bCs/>
          <w:color w:val="333333"/>
          <w:sz w:val="30"/>
          <w:szCs w:val="30"/>
        </w:rPr>
        <w:t xml:space="preserve">Análisis Exploratorio y Series de Tiempo del Catálogo de Netflix</w:t>
      </w:r>
    </w:p>
    <w:p>
      <w:pPr>
        <w:spacing w:after="800"/>
        <w:jc w:val="center"/>
      </w:pPr>
      <w:r>
        <w:rPr>
          <w:i/>
          <w:iCs/>
          <w:color w:val="666666"/>
          <w:sz w:val="22"/>
          <w:szCs w:val="22"/>
        </w:rPr>
        <w:t xml:space="preserve">Detalle columna por columna: proceso, objetivo, resultado y utilidad de los datos obtenidos</w:t>
      </w:r>
    </w:p>
    <w:p>
      <w:pPr>
        <w:spacing w:after="60"/>
        <w:jc w:val="center"/>
      </w:pPr>
      <w:r>
        <w:rPr>
          <w:b/>
          <w:bCs/>
          <w:color w:val="333333"/>
          <w:sz w:val="22"/>
          <w:szCs w:val="22"/>
        </w:rPr>
        <w:t xml:space="preserve">Integrantes:</w:t>
      </w:r>
    </w:p>
    <w:p>
      <w:pPr>
        <w:spacing w:after="40"/>
        <w:jc w:val="center"/>
      </w:pPr>
      <w:r>
        <w:rPr>
          <w:color w:val="333333"/>
          <w:sz w:val="22"/>
          <w:szCs w:val="22"/>
        </w:rPr>
        <w:t xml:space="preserve">James Francois Lozano Gordillo</w:t>
      </w:r>
    </w:p>
    <w:p>
      <w:pPr>
        <w:spacing w:after="700"/>
        <w:jc w:val="center"/>
      </w:pPr>
      <w:r>
        <w:rPr>
          <w:color w:val="333333"/>
          <w:sz w:val="22"/>
          <w:szCs w:val="22"/>
        </w:rPr>
        <w:t xml:space="preserve">Elian Alexis Sandoval Durán</w:t>
      </w:r>
    </w:p>
    <w:p>
      <w:pPr>
        <w:jc w:val="center"/>
      </w:pPr>
      <w:r>
        <w:rPr>
          <w:color w:val="666666"/>
          <w:sz w:val="20"/>
          <w:szCs w:val="20"/>
        </w:rPr>
        <w:t xml:space="preserve">Ibagué, Tolima - 2026</w:t>
      </w:r>
    </w:p>
    <w:p>
      <w:r>
        <w:br w:type="page"/>
      </w:r>
    </w:p>
    <w:p>
      <w:pPr>
        <w:pStyle w:val="Heading1"/>
        <w:pBdr>
          <w:bottom w:val="single" w:color="E50914" w:sz="12" w:space="4"/>
        </w:pBdr>
        <w:spacing w:after="150" w:before="300"/>
      </w:pPr>
      <w:r>
        <w:rPr>
          <w:b/>
          <w:bCs/>
          <w:color w:val="333333"/>
          <w:sz w:val="30"/>
          <w:szCs w:val="30"/>
        </w:rPr>
        <w:t xml:space="preserve">1. Introducción</w:t>
      </w:r>
    </w:p>
    <w:p>
      <w:pPr>
        <w:spacing w:after="160" w:line="300"/>
      </w:pPr>
      <w:r>
        <w:rPr>
          <w:color w:val="333333"/>
          <w:sz w:val="21"/>
          <w:szCs w:val="21"/>
        </w:rPr>
        <w:t xml:space="preserve">Este documento resume, columna por columna, el trabajo realizado sobre los dos datasets del proyecto de minería de datos: el catálogo de Netflix (netflix_titles.csv) y las valoraciones de usuarios (netflix.csv). Para cada columna se explica qué proceso se aplicó, qué se buscaba lograr, qué resultado se obtuvo realmente y qué se puede hacer con ese dato dentro o fuera de este proyecto.</w:t>
      </w:r>
    </w:p>
    <w:p>
      <w:pPr>
        <w:spacing w:after="160" w:line="300"/>
      </w:pPr>
      <w:r>
        <w:rPr>
          <w:color w:val="333333"/>
          <w:sz w:val="21"/>
          <w:szCs w:val="21"/>
        </w:rPr>
        <w:t xml:space="preserve">El procesamiento sigue la metodología CRISP-DM, principalmente las fases de Comprensión de los Datos (Data Understanding) y Preparación de los Datos (Data Preparation), e incluye la detección y corrección de una inconsistencia real encontrada en el dataset original.</w:t>
      </w:r>
    </w:p>
    <w:p>
      <w:pPr>
        <w:pStyle w:val="Heading1"/>
        <w:pBdr>
          <w:bottom w:val="single" w:color="E50914" w:sz="12" w:space="4"/>
        </w:pBdr>
        <w:spacing w:after="150" w:before="300"/>
      </w:pPr>
      <w:r>
        <w:rPr>
          <w:b/>
          <w:bCs/>
          <w:color w:val="333333"/>
          <w:sz w:val="30"/>
          <w:szCs w:val="30"/>
        </w:rPr>
        <w:t xml:space="preserve">2. Dataset principal: netflix_titles.csv</w:t>
      </w:r>
    </w:p>
    <w:p>
      <w:pPr>
        <w:spacing w:after="160" w:line="300"/>
      </w:pPr>
      <w:r>
        <w:rPr>
          <w:color w:val="333333"/>
          <w:sz w:val="21"/>
          <w:szCs w:val="21"/>
        </w:rPr>
        <w:t xml:space="preserve">8.807 registros y 12 columnas en total. La siguiente tabla muestra únicamente las columnas sobre las que se aplicó algún proceso (limpieza, transformación o análisis); show_id, title y description no requirieron procesamiento en el pipeline actual.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50"/>
        <w:gridCol w:w="2150"/>
        <w:gridCol w:w="1750"/>
        <w:gridCol w:w="2210"/>
        <w:gridCol w:w="2000"/>
      </w:tblGrid>
      <w:tr>
        <w:trPr>
          <w:tblHeader/>
        </w:trPr>
        <w:tc>
          <w:tcPr>
            <w:tcW w:type="dxa" w:w="1250"/>
            <w:shd w:fill="E50914" w:val="clear"/>
            <w:tcMar>
              <w:top w:type="dxa" w:w="80"/>
              <w:left w:type="dxa" w:w="100"/>
              <w:bottom w:type="dxa" w:w="80"/>
              <w:right w:type="dxa" w:w="100"/>
            </w:tcMar>
            <w:vAlign w:val="center"/>
          </w:tcPr>
          <w:p>
            <w:pPr>
              <w:jc w:val="left"/>
            </w:pPr>
            <w:r>
              <w:rPr>
                <w:b/>
                <w:bCs/>
                <w:color w:val="FFFFFF"/>
                <w:sz w:val="18"/>
                <w:szCs w:val="18"/>
              </w:rPr>
              <w:t xml:space="preserve">Columna</w:t>
            </w:r>
          </w:p>
        </w:tc>
        <w:tc>
          <w:tcPr>
            <w:tcW w:type="dxa" w:w="2150"/>
            <w:shd w:fill="E50914" w:val="clear"/>
            <w:tcMar>
              <w:top w:type="dxa" w:w="80"/>
              <w:left w:type="dxa" w:w="100"/>
              <w:bottom w:type="dxa" w:w="80"/>
              <w:right w:type="dxa" w:w="100"/>
            </w:tcMar>
            <w:vAlign w:val="center"/>
          </w:tcPr>
          <w:p>
            <w:pPr>
              <w:jc w:val="left"/>
            </w:pPr>
            <w:r>
              <w:rPr>
                <w:b/>
                <w:bCs/>
                <w:color w:val="FFFFFF"/>
                <w:sz w:val="18"/>
                <w:szCs w:val="18"/>
              </w:rPr>
              <w:t xml:space="preserve">Proceso aplicado</w:t>
            </w:r>
          </w:p>
        </w:tc>
        <w:tc>
          <w:tcPr>
            <w:tcW w:type="dxa" w:w="1750"/>
            <w:shd w:fill="E50914" w:val="clear"/>
            <w:tcMar>
              <w:top w:type="dxa" w:w="80"/>
              <w:left w:type="dxa" w:w="100"/>
              <w:bottom w:type="dxa" w:w="80"/>
              <w:right w:type="dxa" w:w="100"/>
            </w:tcMar>
            <w:vAlign w:val="center"/>
          </w:tcPr>
          <w:p>
            <w:pPr>
              <w:jc w:val="left"/>
            </w:pPr>
            <w:r>
              <w:rPr>
                <w:b/>
                <w:bCs/>
                <w:color w:val="FFFFFF"/>
                <w:sz w:val="18"/>
                <w:szCs w:val="18"/>
              </w:rPr>
              <w:t xml:space="preserve">Objetivo</w:t>
            </w:r>
          </w:p>
        </w:tc>
        <w:tc>
          <w:tcPr>
            <w:tcW w:type="dxa" w:w="2210"/>
            <w:shd w:fill="E50914" w:val="clear"/>
            <w:tcMar>
              <w:top w:type="dxa" w:w="80"/>
              <w:left w:type="dxa" w:w="100"/>
              <w:bottom w:type="dxa" w:w="80"/>
              <w:right w:type="dxa" w:w="100"/>
            </w:tcMar>
            <w:vAlign w:val="center"/>
          </w:tcPr>
          <w:p>
            <w:pPr>
              <w:jc w:val="left"/>
            </w:pPr>
            <w:r>
              <w:rPr>
                <w:b/>
                <w:bCs/>
                <w:color w:val="FFFFFF"/>
                <w:sz w:val="18"/>
                <w:szCs w:val="18"/>
              </w:rPr>
              <w:t xml:space="preserve">Resultado obtenido</w:t>
            </w:r>
          </w:p>
        </w:tc>
        <w:tc>
          <w:tcPr>
            <w:tcW w:type="dxa" w:w="2000"/>
            <w:shd w:fill="E50914" w:val="clear"/>
            <w:tcMar>
              <w:top w:type="dxa" w:w="80"/>
              <w:left w:type="dxa" w:w="100"/>
              <w:bottom w:type="dxa" w:w="80"/>
              <w:right w:type="dxa" w:w="100"/>
            </w:tcMar>
            <w:vAlign w:val="center"/>
          </w:tcPr>
          <w:p>
            <w:pPr>
              <w:jc w:val="left"/>
            </w:pPr>
            <w:r>
              <w:rPr>
                <w:b/>
                <w:bCs/>
                <w:color w:val="FFFFFF"/>
                <w:sz w:val="18"/>
                <w:szCs w:val="18"/>
              </w:rPr>
              <w:t xml:space="preserve">Utilidad del dato</w:t>
            </w:r>
          </w:p>
        </w:tc>
      </w:tr>
      <w:tr>
        <w:tc>
          <w:tcPr>
            <w:tcW w:type="dxa" w:w="1250"/>
            <w:tcMar>
              <w:top w:type="dxa" w:w="80"/>
              <w:left w:type="dxa" w:w="100"/>
              <w:bottom w:type="dxa" w:w="80"/>
              <w:right w:type="dxa" w:w="100"/>
            </w:tcMar>
          </w:tcPr>
          <w:p>
            <w:pPr>
              <w:spacing w:after="40"/>
            </w:pPr>
            <w:r>
              <w:rPr>
                <w:color w:val="333333"/>
                <w:sz w:val="18"/>
                <w:szCs w:val="18"/>
              </w:rPr>
              <w:t xml:space="preserve">type</w:t>
            </w:r>
          </w:p>
        </w:tc>
        <w:tc>
          <w:tcPr>
            <w:tcW w:type="dxa" w:w="2150"/>
            <w:tcMar>
              <w:top w:type="dxa" w:w="80"/>
              <w:left w:type="dxa" w:w="100"/>
              <w:bottom w:type="dxa" w:w="80"/>
              <w:right w:type="dxa" w:w="100"/>
            </w:tcMar>
          </w:tcPr>
          <w:p>
            <w:pPr>
              <w:spacing w:after="40"/>
            </w:pPr>
            <w:r>
              <w:rPr>
                <w:color w:val="333333"/>
                <w:sz w:val="18"/>
                <w:szCs w:val="18"/>
              </w:rPr>
              <w:t xml:space="preserve">Conteo de frecuencias (value_counts) sobre 'Movie' / 'TV Show'.</w:t>
            </w:r>
          </w:p>
        </w:tc>
        <w:tc>
          <w:tcPr>
            <w:tcW w:type="dxa" w:w="1750"/>
            <w:tcMar>
              <w:top w:type="dxa" w:w="80"/>
              <w:left w:type="dxa" w:w="100"/>
              <w:bottom w:type="dxa" w:w="80"/>
              <w:right w:type="dxa" w:w="100"/>
            </w:tcMar>
          </w:tcPr>
          <w:p>
            <w:pPr>
              <w:spacing w:after="40"/>
            </w:pPr>
            <w:r>
              <w:rPr>
                <w:color w:val="333333"/>
                <w:sz w:val="18"/>
                <w:szCs w:val="18"/>
              </w:rPr>
              <w:t xml:space="preserve">Cuantificar qué proporción del catálogo son películas y qué proporción series.</w:t>
            </w:r>
          </w:p>
        </w:tc>
        <w:tc>
          <w:tcPr>
            <w:tcW w:type="dxa" w:w="2210"/>
            <w:tcMar>
              <w:top w:type="dxa" w:w="80"/>
              <w:left w:type="dxa" w:w="100"/>
              <w:bottom w:type="dxa" w:w="80"/>
              <w:right w:type="dxa" w:w="100"/>
            </w:tcMar>
          </w:tcPr>
          <w:p>
            <w:pPr>
              <w:spacing w:after="40"/>
            </w:pPr>
            <w:r>
              <w:rPr>
                <w:color w:val="333333"/>
                <w:sz w:val="18"/>
                <w:szCs w:val="18"/>
              </w:rPr>
              <w:t xml:space="preserve">6.131 películas (69,6%) y 2.676 series (30,4%).</w:t>
            </w:r>
          </w:p>
        </w:tc>
        <w:tc>
          <w:tcPr>
            <w:tcW w:type="dxa" w:w="2000"/>
            <w:tcMar>
              <w:top w:type="dxa" w:w="80"/>
              <w:left w:type="dxa" w:w="100"/>
              <w:bottom w:type="dxa" w:w="80"/>
              <w:right w:type="dxa" w:w="100"/>
            </w:tcMar>
          </w:tcPr>
          <w:p>
            <w:pPr>
              <w:spacing w:after="40"/>
            </w:pPr>
            <w:r>
              <w:rPr>
                <w:color w:val="333333"/>
                <w:sz w:val="18"/>
                <w:szCs w:val="18"/>
              </w:rPr>
              <w:t xml:space="preserve">Base para segmentar el resto del análisis (duración, país, género) por tipo de contenido.</w:t>
            </w:r>
          </w:p>
        </w:tc>
      </w:tr>
      <w:tr>
        <w:tc>
          <w:tcPr>
            <w:tcW w:type="dxa" w:w="1250"/>
            <w:shd w:fill="F2F2F2" w:val="clear"/>
            <w:tcMar>
              <w:top w:type="dxa" w:w="80"/>
              <w:left w:type="dxa" w:w="100"/>
              <w:bottom w:type="dxa" w:w="80"/>
              <w:right w:type="dxa" w:w="100"/>
            </w:tcMar>
          </w:tcPr>
          <w:p>
            <w:pPr>
              <w:spacing w:after="40"/>
            </w:pPr>
            <w:r>
              <w:rPr>
                <w:color w:val="333333"/>
                <w:sz w:val="18"/>
                <w:szCs w:val="18"/>
              </w:rPr>
              <w:t xml:space="preserve">director</w:t>
            </w:r>
          </w:p>
        </w:tc>
        <w:tc>
          <w:tcPr>
            <w:tcW w:type="dxa" w:w="2150"/>
            <w:shd w:fill="F2F2F2" w:val="clear"/>
            <w:tcMar>
              <w:top w:type="dxa" w:w="80"/>
              <w:left w:type="dxa" w:w="100"/>
              <w:bottom w:type="dxa" w:w="80"/>
              <w:right w:type="dxa" w:w="100"/>
            </w:tcMar>
          </w:tcPr>
          <w:p>
            <w:pPr>
              <w:spacing w:after="40"/>
            </w:pPr>
            <w:r>
              <w:rPr>
                <w:color w:val="333333"/>
                <w:sz w:val="18"/>
                <w:szCs w:val="18"/>
              </w:rPr>
              <w:t xml:space="preserve">Valores nulos (2.634, 29,9%) reemplazados por "Desconocido" para no perder el resto de la fila.</w:t>
            </w:r>
          </w:p>
        </w:tc>
        <w:tc>
          <w:tcPr>
            <w:tcW w:type="dxa" w:w="1750"/>
            <w:shd w:fill="F2F2F2" w:val="clear"/>
            <w:tcMar>
              <w:top w:type="dxa" w:w="80"/>
              <w:left w:type="dxa" w:w="100"/>
              <w:bottom w:type="dxa" w:w="80"/>
              <w:right w:type="dxa" w:w="100"/>
            </w:tcMar>
          </w:tcPr>
          <w:p>
            <w:pPr>
              <w:spacing w:after="40"/>
            </w:pPr>
            <w:r>
              <w:rPr>
                <w:color w:val="333333"/>
                <w:sz w:val="18"/>
                <w:szCs w:val="18"/>
              </w:rPr>
              <w:t xml:space="preserve">Completar la columna sin descartar registros útiles para otros análisis.</w:t>
            </w:r>
          </w:p>
        </w:tc>
        <w:tc>
          <w:tcPr>
            <w:tcW w:type="dxa" w:w="2210"/>
            <w:shd w:fill="F2F2F2" w:val="clear"/>
            <w:tcMar>
              <w:top w:type="dxa" w:w="80"/>
              <w:left w:type="dxa" w:w="100"/>
              <w:bottom w:type="dxa" w:w="80"/>
              <w:right w:type="dxa" w:w="100"/>
            </w:tcMar>
          </w:tcPr>
          <w:p>
            <w:pPr>
              <w:spacing w:after="40"/>
            </w:pPr>
            <w:r>
              <w:rPr>
                <w:color w:val="333333"/>
                <w:sz w:val="18"/>
                <w:szCs w:val="18"/>
              </w:rPr>
              <w:t xml:space="preserve">Columna 100% completa; casi 1 de cada 3 títulos no declara director.</w:t>
            </w:r>
          </w:p>
        </w:tc>
        <w:tc>
          <w:tcPr>
            <w:tcW w:type="dxa" w:w="2000"/>
            <w:shd w:fill="F2F2F2" w:val="clear"/>
            <w:tcMar>
              <w:top w:type="dxa" w:w="80"/>
              <w:left w:type="dxa" w:w="100"/>
              <w:bottom w:type="dxa" w:w="80"/>
              <w:right w:type="dxa" w:w="100"/>
            </w:tcMar>
          </w:tcPr>
          <w:p>
            <w:pPr>
              <w:spacing w:after="40"/>
            </w:pPr>
            <w:r>
              <w:rPr>
                <w:color w:val="333333"/>
                <w:sz w:val="18"/>
                <w:szCs w:val="18"/>
              </w:rPr>
              <w:t xml:space="preserve">Queda lista para un futuro conteo de directores más frecuentes o cruces con género/país.</w:t>
            </w:r>
          </w:p>
        </w:tc>
      </w:tr>
      <w:tr>
        <w:tc>
          <w:tcPr>
            <w:tcW w:type="dxa" w:w="1250"/>
            <w:tcMar>
              <w:top w:type="dxa" w:w="80"/>
              <w:left w:type="dxa" w:w="100"/>
              <w:bottom w:type="dxa" w:w="80"/>
              <w:right w:type="dxa" w:w="100"/>
            </w:tcMar>
          </w:tcPr>
          <w:p>
            <w:pPr>
              <w:spacing w:after="40"/>
            </w:pPr>
            <w:r>
              <w:rPr>
                <w:color w:val="333333"/>
                <w:sz w:val="18"/>
                <w:szCs w:val="18"/>
              </w:rPr>
              <w:t xml:space="preserve">cast</w:t>
            </w:r>
          </w:p>
        </w:tc>
        <w:tc>
          <w:tcPr>
            <w:tcW w:type="dxa" w:w="2150"/>
            <w:tcMar>
              <w:top w:type="dxa" w:w="80"/>
              <w:left w:type="dxa" w:w="100"/>
              <w:bottom w:type="dxa" w:w="80"/>
              <w:right w:type="dxa" w:w="100"/>
            </w:tcMar>
          </w:tcPr>
          <w:p>
            <w:pPr>
              <w:spacing w:after="40"/>
            </w:pPr>
            <w:r>
              <w:rPr>
                <w:color w:val="333333"/>
                <w:sz w:val="18"/>
                <w:szCs w:val="18"/>
              </w:rPr>
              <w:t xml:space="preserve">Valores nulos (825, 9,4%) reemplazados por "Desconocido".</w:t>
            </w:r>
          </w:p>
        </w:tc>
        <w:tc>
          <w:tcPr>
            <w:tcW w:type="dxa" w:w="1750"/>
            <w:tcMar>
              <w:top w:type="dxa" w:w="80"/>
              <w:left w:type="dxa" w:w="100"/>
              <w:bottom w:type="dxa" w:w="80"/>
              <w:right w:type="dxa" w:w="100"/>
            </w:tcMar>
          </w:tcPr>
          <w:p>
            <w:pPr>
              <w:spacing w:after="40"/>
            </w:pPr>
            <w:r>
              <w:rPr>
                <w:color w:val="333333"/>
                <w:sz w:val="18"/>
                <w:szCs w:val="18"/>
              </w:rPr>
              <w:t xml:space="preserve">Mismo objetivo que 'director': preservar la fila completa.</w:t>
            </w:r>
          </w:p>
        </w:tc>
        <w:tc>
          <w:tcPr>
            <w:tcW w:type="dxa" w:w="2210"/>
            <w:tcMar>
              <w:top w:type="dxa" w:w="80"/>
              <w:left w:type="dxa" w:w="100"/>
              <w:bottom w:type="dxa" w:w="80"/>
              <w:right w:type="dxa" w:w="100"/>
            </w:tcMar>
          </w:tcPr>
          <w:p>
            <w:pPr>
              <w:spacing w:after="40"/>
            </w:pPr>
            <w:r>
              <w:rPr>
                <w:color w:val="333333"/>
                <w:sz w:val="18"/>
                <w:szCs w:val="18"/>
              </w:rPr>
              <w:t xml:space="preserve">Columna 100% completa.</w:t>
            </w:r>
          </w:p>
        </w:tc>
        <w:tc>
          <w:tcPr>
            <w:tcW w:type="dxa" w:w="2000"/>
            <w:tcMar>
              <w:top w:type="dxa" w:w="80"/>
              <w:left w:type="dxa" w:w="100"/>
              <w:bottom w:type="dxa" w:w="80"/>
              <w:right w:type="dxa" w:w="100"/>
            </w:tcMar>
          </w:tcPr>
          <w:p>
            <w:pPr>
              <w:spacing w:after="40"/>
            </w:pPr>
            <w:r>
              <w:rPr>
                <w:color w:val="333333"/>
                <w:sz w:val="18"/>
                <w:szCs w:val="18"/>
              </w:rPr>
              <w:t xml:space="preserve">Insumo potencial para análisis de reparto más frecuente o redes de colaboración entre actores.</w:t>
            </w:r>
          </w:p>
        </w:tc>
      </w:tr>
      <w:tr>
        <w:tc>
          <w:tcPr>
            <w:tcW w:type="dxa" w:w="1250"/>
            <w:shd w:fill="F2F2F2" w:val="clear"/>
            <w:tcMar>
              <w:top w:type="dxa" w:w="80"/>
              <w:left w:type="dxa" w:w="100"/>
              <w:bottom w:type="dxa" w:w="80"/>
              <w:right w:type="dxa" w:w="100"/>
            </w:tcMar>
          </w:tcPr>
          <w:p>
            <w:pPr>
              <w:spacing w:after="40"/>
            </w:pPr>
            <w:r>
              <w:rPr>
                <w:color w:val="333333"/>
                <w:sz w:val="18"/>
                <w:szCs w:val="18"/>
              </w:rPr>
              <w:t xml:space="preserve">country</w:t>
            </w:r>
          </w:p>
        </w:tc>
        <w:tc>
          <w:tcPr>
            <w:tcW w:type="dxa" w:w="2150"/>
            <w:shd w:fill="F2F2F2" w:val="clear"/>
            <w:tcMar>
              <w:top w:type="dxa" w:w="80"/>
              <w:left w:type="dxa" w:w="100"/>
              <w:bottom w:type="dxa" w:w="80"/>
              <w:right w:type="dxa" w:w="100"/>
            </w:tcMar>
          </w:tcPr>
          <w:p>
            <w:pPr>
              <w:spacing w:after="40"/>
            </w:pPr>
            <w:r>
              <w:rPr>
                <w:color w:val="333333"/>
                <w:sz w:val="18"/>
                <w:szCs w:val="18"/>
              </w:rPr>
              <w:t xml:space="preserve">Nulos (831) → "Desconocido". Además, se separaron los países múltiples (split por coma) y se "explotó" cada fila para contar cada país de forma individual.</w:t>
            </w:r>
          </w:p>
        </w:tc>
        <w:tc>
          <w:tcPr>
            <w:tcW w:type="dxa" w:w="1750"/>
            <w:shd w:fill="F2F2F2" w:val="clear"/>
            <w:tcMar>
              <w:top w:type="dxa" w:w="80"/>
              <w:left w:type="dxa" w:w="100"/>
              <w:bottom w:type="dxa" w:w="80"/>
              <w:right w:type="dxa" w:w="100"/>
            </w:tcMar>
          </w:tcPr>
          <w:p>
            <w:pPr>
              <w:spacing w:after="40"/>
            </w:pPr>
            <w:r>
              <w:rPr>
                <w:color w:val="333333"/>
                <w:sz w:val="18"/>
                <w:szCs w:val="18"/>
              </w:rPr>
              <w:t xml:space="preserve">Identificar qué países concentran la mayor producción de contenido, incluso en títulos coproducidos.</w:t>
            </w:r>
          </w:p>
        </w:tc>
        <w:tc>
          <w:tcPr>
            <w:tcW w:type="dxa" w:w="2210"/>
            <w:shd w:fill="F2F2F2" w:val="clear"/>
            <w:tcMar>
              <w:top w:type="dxa" w:w="80"/>
              <w:left w:type="dxa" w:w="100"/>
              <w:bottom w:type="dxa" w:w="80"/>
              <w:right w:type="dxa" w:w="100"/>
            </w:tcMar>
          </w:tcPr>
          <w:p>
            <w:pPr>
              <w:spacing w:after="40"/>
            </w:pPr>
            <w:r>
              <w:rPr>
                <w:color w:val="333333"/>
                <w:sz w:val="18"/>
                <w:szCs w:val="18"/>
              </w:rPr>
              <w:t xml:space="preserve">Top países: Estados Unidos (3.689), India (1.046), Desconocido (831), Reino Unido (804), Canadá (445)...</w:t>
            </w:r>
          </w:p>
        </w:tc>
        <w:tc>
          <w:tcPr>
            <w:tcW w:type="dxa" w:w="2000"/>
            <w:shd w:fill="F2F2F2" w:val="clear"/>
            <w:tcMar>
              <w:top w:type="dxa" w:w="80"/>
              <w:left w:type="dxa" w:w="100"/>
              <w:bottom w:type="dxa" w:w="80"/>
              <w:right w:type="dxa" w:w="100"/>
            </w:tcMar>
          </w:tcPr>
          <w:p>
            <w:pPr>
              <w:spacing w:after="40"/>
            </w:pPr>
            <w:r>
              <w:rPr>
                <w:color w:val="333333"/>
                <w:sz w:val="18"/>
                <w:szCs w:val="18"/>
              </w:rPr>
              <w:t xml:space="preserve">Permite mapear los mercados de producción dominantes y detectar la magnitud real del dato faltante.</w:t>
            </w:r>
          </w:p>
        </w:tc>
      </w:tr>
      <w:tr>
        <w:tc>
          <w:tcPr>
            <w:tcW w:type="dxa" w:w="1250"/>
            <w:tcMar>
              <w:top w:type="dxa" w:w="80"/>
              <w:left w:type="dxa" w:w="100"/>
              <w:bottom w:type="dxa" w:w="80"/>
              <w:right w:type="dxa" w:w="100"/>
            </w:tcMar>
          </w:tcPr>
          <w:p>
            <w:pPr>
              <w:spacing w:after="40"/>
            </w:pPr>
            <w:r>
              <w:rPr>
                <w:color w:val="333333"/>
                <w:sz w:val="18"/>
                <w:szCs w:val="18"/>
              </w:rPr>
              <w:t xml:space="preserve">date_added</w:t>
            </w:r>
          </w:p>
        </w:tc>
        <w:tc>
          <w:tcPr>
            <w:tcW w:type="dxa" w:w="2150"/>
            <w:tcMar>
              <w:top w:type="dxa" w:w="80"/>
              <w:left w:type="dxa" w:w="100"/>
              <w:bottom w:type="dxa" w:w="80"/>
              <w:right w:type="dxa" w:w="100"/>
            </w:tcMar>
          </w:tcPr>
          <w:p>
            <w:pPr>
              <w:spacing w:after="40"/>
            </w:pPr>
            <w:r>
              <w:rPr>
                <w:color w:val="333333"/>
                <w:sz w:val="18"/>
                <w:szCs w:val="18"/>
              </w:rPr>
              <w:t xml:space="preserve">Convertida de texto a tipo fecha real (datetime) para poder extraer el año con .dt.year. 10 nulos se excluyen solo de este análisis puntual.</w:t>
            </w:r>
          </w:p>
        </w:tc>
        <w:tc>
          <w:tcPr>
            <w:tcW w:type="dxa" w:w="1750"/>
            <w:tcMar>
              <w:top w:type="dxa" w:w="80"/>
              <w:left w:type="dxa" w:w="100"/>
              <w:bottom w:type="dxa" w:w="80"/>
              <w:right w:type="dxa" w:w="100"/>
            </w:tcMar>
          </w:tcPr>
          <w:p>
            <w:pPr>
              <w:spacing w:after="40"/>
            </w:pPr>
            <w:r>
              <w:rPr>
                <w:color w:val="333333"/>
                <w:sz w:val="18"/>
                <w:szCs w:val="18"/>
              </w:rPr>
              <w:t xml:space="preserve">Medir el crecimiento del catálogo de Netflix año a año (independiente del año de producción).</w:t>
            </w:r>
          </w:p>
        </w:tc>
        <w:tc>
          <w:tcPr>
            <w:tcW w:type="dxa" w:w="2210"/>
            <w:tcMar>
              <w:top w:type="dxa" w:w="80"/>
              <w:left w:type="dxa" w:w="100"/>
              <w:bottom w:type="dxa" w:w="80"/>
              <w:right w:type="dxa" w:w="100"/>
            </w:tcMar>
          </w:tcPr>
          <w:p>
            <w:pPr>
              <w:spacing w:after="40"/>
            </w:pPr>
            <w:r>
              <w:rPr>
                <w:color w:val="333333"/>
                <w:sz w:val="18"/>
                <w:szCs w:val="18"/>
              </w:rPr>
              <w:t xml:space="preserve">Serie 2008-2021: crecimiento fuerte desde 2015, pico en 2019 (1.999 títulos) y caída en 2020-2021.</w:t>
            </w:r>
          </w:p>
        </w:tc>
        <w:tc>
          <w:tcPr>
            <w:tcW w:type="dxa" w:w="2000"/>
            <w:tcMar>
              <w:top w:type="dxa" w:w="80"/>
              <w:left w:type="dxa" w:w="100"/>
              <w:bottom w:type="dxa" w:w="80"/>
              <w:right w:type="dxa" w:w="100"/>
            </w:tcMar>
          </w:tcPr>
          <w:p>
            <w:pPr>
              <w:spacing w:after="40"/>
            </w:pPr>
            <w:r>
              <w:rPr>
                <w:color w:val="333333"/>
                <w:sz w:val="18"/>
                <w:szCs w:val="18"/>
              </w:rPr>
              <w:t xml:space="preserve">Gráfica de serie de tiempo; permite entender la estrategia de expansión de contenido de la plataforma.</w:t>
            </w:r>
          </w:p>
        </w:tc>
      </w:tr>
      <w:tr>
        <w:tc>
          <w:tcPr>
            <w:tcW w:type="dxa" w:w="1250"/>
            <w:shd w:fill="F2F2F2" w:val="clear"/>
            <w:tcMar>
              <w:top w:type="dxa" w:w="80"/>
              <w:left w:type="dxa" w:w="100"/>
              <w:bottom w:type="dxa" w:w="80"/>
              <w:right w:type="dxa" w:w="100"/>
            </w:tcMar>
          </w:tcPr>
          <w:p>
            <w:pPr>
              <w:spacing w:after="40"/>
            </w:pPr>
            <w:r>
              <w:rPr>
                <w:color w:val="333333"/>
                <w:sz w:val="18"/>
                <w:szCs w:val="18"/>
              </w:rPr>
              <w:t xml:space="preserve">release_year</w:t>
            </w:r>
          </w:p>
        </w:tc>
        <w:tc>
          <w:tcPr>
            <w:tcW w:type="dxa" w:w="2150"/>
            <w:shd w:fill="F2F2F2" w:val="clear"/>
            <w:tcMar>
              <w:top w:type="dxa" w:w="80"/>
              <w:left w:type="dxa" w:w="100"/>
              <w:bottom w:type="dxa" w:w="80"/>
              <w:right w:type="dxa" w:w="100"/>
            </w:tcMar>
          </w:tcPr>
          <w:p>
            <w:pPr>
              <w:spacing w:after="40"/>
            </w:pPr>
            <w:r>
              <w:rPr>
                <w:color w:val="333333"/>
                <w:sz w:val="18"/>
                <w:szCs w:val="18"/>
              </w:rPr>
              <w:t xml:space="preserve">Conteo de frecuencias por año. Combinada con date_added para calcular la antigüedad al momento de agregarse.</w:t>
            </w:r>
          </w:p>
        </w:tc>
        <w:tc>
          <w:tcPr>
            <w:tcW w:type="dxa" w:w="1750"/>
            <w:shd w:fill="F2F2F2" w:val="clear"/>
            <w:tcMar>
              <w:top w:type="dxa" w:w="80"/>
              <w:left w:type="dxa" w:w="100"/>
              <w:bottom w:type="dxa" w:w="80"/>
              <w:right w:type="dxa" w:w="100"/>
            </w:tcMar>
          </w:tcPr>
          <w:p>
            <w:pPr>
              <w:spacing w:after="40"/>
            </w:pPr>
            <w:r>
              <w:rPr>
                <w:color w:val="333333"/>
                <w:sz w:val="18"/>
                <w:szCs w:val="18"/>
              </w:rPr>
              <w:t xml:space="preserve">Conocer en qué años fue producido el contenido del catálogo y su antigüedad al llegar a Netflix.</w:t>
            </w:r>
          </w:p>
        </w:tc>
        <w:tc>
          <w:tcPr>
            <w:tcW w:type="dxa" w:w="2210"/>
            <w:shd w:fill="F2F2F2" w:val="clear"/>
            <w:tcMar>
              <w:top w:type="dxa" w:w="80"/>
              <w:left w:type="dxa" w:w="100"/>
              <w:bottom w:type="dxa" w:w="80"/>
              <w:right w:type="dxa" w:w="100"/>
            </w:tcMar>
          </w:tcPr>
          <w:p>
            <w:pPr>
              <w:spacing w:after="40"/>
            </w:pPr>
            <w:r>
              <w:rPr>
                <w:color w:val="333333"/>
                <w:sz w:val="18"/>
                <w:szCs w:val="18"/>
              </w:rPr>
              <w:t xml:space="preserve">Rango 1925-2021, con fuerte concentración en 2017-2020 (&gt;950 títulos por año). Antigüedad promedio: 4,7 años (mínimo -3, máximo 93).</w:t>
            </w:r>
          </w:p>
        </w:tc>
        <w:tc>
          <w:tcPr>
            <w:tcW w:type="dxa" w:w="2000"/>
            <w:shd w:fill="F2F2F2" w:val="clear"/>
            <w:tcMar>
              <w:top w:type="dxa" w:w="80"/>
              <w:left w:type="dxa" w:w="100"/>
              <w:bottom w:type="dxa" w:w="80"/>
              <w:right w:type="dxa" w:w="100"/>
            </w:tcMar>
          </w:tcPr>
          <w:p>
            <w:pPr>
              <w:spacing w:after="40"/>
            </w:pPr>
            <w:r>
              <w:rPr>
                <w:color w:val="333333"/>
                <w:sz w:val="18"/>
                <w:szCs w:val="18"/>
              </w:rPr>
              <w:t xml:space="preserve">Compara año de producción vs. año de incorporación; el valor mínimo negativo (-3) se documenta como inconsistencia del dataset.</w:t>
            </w:r>
          </w:p>
        </w:tc>
      </w:tr>
      <w:tr>
        <w:tc>
          <w:tcPr>
            <w:tcW w:type="dxa" w:w="1250"/>
            <w:tcMar>
              <w:top w:type="dxa" w:w="80"/>
              <w:left w:type="dxa" w:w="100"/>
              <w:bottom w:type="dxa" w:w="80"/>
              <w:right w:type="dxa" w:w="100"/>
            </w:tcMar>
          </w:tcPr>
          <w:p>
            <w:pPr>
              <w:spacing w:after="40"/>
            </w:pPr>
            <w:r>
              <w:rPr>
                <w:color w:val="333333"/>
                <w:sz w:val="18"/>
                <w:szCs w:val="18"/>
              </w:rPr>
              <w:t xml:space="preserve">rating</w:t>
            </w:r>
          </w:p>
        </w:tc>
        <w:tc>
          <w:tcPr>
            <w:tcW w:type="dxa" w:w="2150"/>
            <w:tcMar>
              <w:top w:type="dxa" w:w="80"/>
              <w:left w:type="dxa" w:w="100"/>
              <w:bottom w:type="dxa" w:w="80"/>
              <w:right w:type="dxa" w:w="100"/>
            </w:tcMar>
          </w:tcPr>
          <w:p>
            <w:pPr>
              <w:spacing w:after="40"/>
            </w:pPr>
            <w:r>
              <w:rPr>
                <w:color w:val="333333"/>
                <w:sz w:val="18"/>
                <w:szCs w:val="18"/>
              </w:rPr>
              <w:t xml:space="preserve">Nulos (4) → "Desconocido". Se detectaron y corrigieron valores "sospechosos" (duraciones que habían quedado guardadas por error en esta columna, por desplazamiento de datos en filas sin country).</w:t>
            </w:r>
          </w:p>
        </w:tc>
        <w:tc>
          <w:tcPr>
            <w:tcW w:type="dxa" w:w="1750"/>
            <w:tcMar>
              <w:top w:type="dxa" w:w="80"/>
              <w:left w:type="dxa" w:w="100"/>
              <w:bottom w:type="dxa" w:w="80"/>
              <w:right w:type="dxa" w:w="100"/>
            </w:tcMar>
          </w:tcPr>
          <w:p>
            <w:pPr>
              <w:spacing w:after="40"/>
            </w:pPr>
            <w:r>
              <w:rPr>
                <w:color w:val="333333"/>
                <w:sz w:val="18"/>
                <w:szCs w:val="18"/>
              </w:rPr>
              <w:t xml:space="preserve">Obtener una clasificación por edades limpia y confiable para analizar el tipo de audiencia del catálogo.</w:t>
            </w:r>
          </w:p>
        </w:tc>
        <w:tc>
          <w:tcPr>
            <w:tcW w:type="dxa" w:w="2210"/>
            <w:tcMar>
              <w:top w:type="dxa" w:w="80"/>
              <w:left w:type="dxa" w:w="100"/>
              <w:bottom w:type="dxa" w:w="80"/>
              <w:right w:type="dxa" w:w="100"/>
            </w:tcMar>
          </w:tcPr>
          <w:p>
            <w:pPr>
              <w:spacing w:after="40"/>
            </w:pPr>
            <w:r>
              <w:rPr>
                <w:color w:val="333333"/>
                <w:sz w:val="18"/>
                <w:szCs w:val="18"/>
              </w:rPr>
              <w:t xml:space="preserve">Top clasificaciones: TV-MA (3.207), TV-14 (2.160), TV-PG (863), R (799), PG-13 (490)...</w:t>
            </w:r>
          </w:p>
        </w:tc>
        <w:tc>
          <w:tcPr>
            <w:tcW w:type="dxa" w:w="2000"/>
            <w:tcMar>
              <w:top w:type="dxa" w:w="80"/>
              <w:left w:type="dxa" w:w="100"/>
              <w:bottom w:type="dxa" w:w="80"/>
              <w:right w:type="dxa" w:w="100"/>
            </w:tcMar>
          </w:tcPr>
          <w:p>
            <w:pPr>
              <w:spacing w:after="40"/>
            </w:pPr>
            <w:r>
              <w:rPr>
                <w:color w:val="333333"/>
                <w:sz w:val="18"/>
                <w:szCs w:val="18"/>
              </w:rPr>
              <w:t xml:space="preserve">Permite dimensionar qué tan orientado a audiencia adulta está el catálogo y detectar errores de captura de datos.</w:t>
            </w:r>
          </w:p>
        </w:tc>
      </w:tr>
      <w:tr>
        <w:tc>
          <w:tcPr>
            <w:tcW w:type="dxa" w:w="1250"/>
            <w:shd w:fill="F2F2F2" w:val="clear"/>
            <w:tcMar>
              <w:top w:type="dxa" w:w="80"/>
              <w:left w:type="dxa" w:w="100"/>
              <w:bottom w:type="dxa" w:w="80"/>
              <w:right w:type="dxa" w:w="100"/>
            </w:tcMar>
          </w:tcPr>
          <w:p>
            <w:pPr>
              <w:spacing w:after="40"/>
            </w:pPr>
            <w:r>
              <w:rPr>
                <w:color w:val="333333"/>
                <w:sz w:val="18"/>
                <w:szCs w:val="18"/>
              </w:rPr>
              <w:t xml:space="preserve">duration</w:t>
            </w:r>
          </w:p>
        </w:tc>
        <w:tc>
          <w:tcPr>
            <w:tcW w:type="dxa" w:w="2150"/>
            <w:shd w:fill="F2F2F2" w:val="clear"/>
            <w:tcMar>
              <w:top w:type="dxa" w:w="80"/>
              <w:left w:type="dxa" w:w="100"/>
              <w:bottom w:type="dxa" w:w="80"/>
              <w:right w:type="dxa" w:w="100"/>
            </w:tcMar>
          </w:tcPr>
          <w:p>
            <w:pPr>
              <w:spacing w:after="40"/>
            </w:pPr>
            <w:r>
              <w:rPr>
                <w:color w:val="333333"/>
                <w:sz w:val="18"/>
                <w:szCs w:val="18"/>
              </w:rPr>
              <w:t xml:space="preserve">Se extrajo el valor numérico (durationValue) separando el número de la unidad (min / temporadas). Se corrigió después de resolver los ratings sospechosos que contaminaban esta columna.</w:t>
            </w:r>
          </w:p>
        </w:tc>
        <w:tc>
          <w:tcPr>
            <w:tcW w:type="dxa" w:w="1750"/>
            <w:shd w:fill="F2F2F2" w:val="clear"/>
            <w:tcMar>
              <w:top w:type="dxa" w:w="80"/>
              <w:left w:type="dxa" w:w="100"/>
              <w:bottom w:type="dxa" w:w="80"/>
              <w:right w:type="dxa" w:w="100"/>
            </w:tcMar>
          </w:tcPr>
          <w:p>
            <w:pPr>
              <w:spacing w:after="40"/>
            </w:pPr>
            <w:r>
              <w:rPr>
                <w:color w:val="333333"/>
                <w:sz w:val="18"/>
                <w:szCs w:val="18"/>
              </w:rPr>
              <w:t xml:space="preserve">Tener una medida numérica y comparable de la duración, distinta para películas (minutos) y series (temporadas).</w:t>
            </w:r>
          </w:p>
        </w:tc>
        <w:tc>
          <w:tcPr>
            <w:tcW w:type="dxa" w:w="2210"/>
            <w:shd w:fill="F2F2F2" w:val="clear"/>
            <w:tcMar>
              <w:top w:type="dxa" w:w="80"/>
              <w:left w:type="dxa" w:w="100"/>
              <w:bottom w:type="dxa" w:w="80"/>
              <w:right w:type="dxa" w:w="100"/>
            </w:tcMar>
          </w:tcPr>
          <w:p>
            <w:pPr>
              <w:spacing w:after="40"/>
            </w:pPr>
            <w:r>
              <w:rPr>
                <w:color w:val="333333"/>
                <w:sz w:val="18"/>
                <w:szCs w:val="18"/>
              </w:rPr>
              <w:t xml:space="preserve">Películas: promedio 99,6 min (rango 3-312). Series: promedio 1,76 temporadas (rango 1-17).</w:t>
            </w:r>
          </w:p>
        </w:tc>
        <w:tc>
          <w:tcPr>
            <w:tcW w:type="dxa" w:w="2000"/>
            <w:shd w:fill="F2F2F2" w:val="clear"/>
            <w:tcMar>
              <w:top w:type="dxa" w:w="80"/>
              <w:left w:type="dxa" w:w="100"/>
              <w:bottom w:type="dxa" w:w="80"/>
              <w:right w:type="dxa" w:w="100"/>
            </w:tcMar>
          </w:tcPr>
          <w:p>
            <w:pPr>
              <w:spacing w:after="40"/>
            </w:pPr>
            <w:r>
              <w:rPr>
                <w:color w:val="333333"/>
                <w:sz w:val="18"/>
                <w:szCs w:val="18"/>
              </w:rPr>
              <w:t xml:space="preserve">Permite comparar duración típica entre tipos de contenido y detectar outliers (p. ej. una película de 3 min).</w:t>
            </w:r>
          </w:p>
        </w:tc>
      </w:tr>
      <w:tr>
        <w:tc>
          <w:tcPr>
            <w:tcW w:type="dxa" w:w="1250"/>
            <w:tcMar>
              <w:top w:type="dxa" w:w="80"/>
              <w:left w:type="dxa" w:w="100"/>
              <w:bottom w:type="dxa" w:w="80"/>
              <w:right w:type="dxa" w:w="100"/>
            </w:tcMar>
          </w:tcPr>
          <w:p>
            <w:pPr>
              <w:spacing w:after="40"/>
            </w:pPr>
            <w:r>
              <w:rPr>
                <w:color w:val="333333"/>
                <w:sz w:val="18"/>
                <w:szCs w:val="18"/>
              </w:rPr>
              <w:t xml:space="preserve">listed_in</w:t>
            </w:r>
          </w:p>
        </w:tc>
        <w:tc>
          <w:tcPr>
            <w:tcW w:type="dxa" w:w="2150"/>
            <w:tcMar>
              <w:top w:type="dxa" w:w="80"/>
              <w:left w:type="dxa" w:w="100"/>
              <w:bottom w:type="dxa" w:w="80"/>
              <w:right w:type="dxa" w:w="100"/>
            </w:tcMar>
          </w:tcPr>
          <w:p>
            <w:pPr>
              <w:spacing w:after="40"/>
            </w:pPr>
            <w:r>
              <w:rPr>
                <w:color w:val="333333"/>
                <w:sz w:val="18"/>
                <w:szCs w:val="18"/>
              </w:rPr>
              <w:t xml:space="preserve">Se separaron los géneros múltiples (split por coma) y se "explotó" cada fila para contar cada género de forma individual.</w:t>
            </w:r>
          </w:p>
        </w:tc>
        <w:tc>
          <w:tcPr>
            <w:tcW w:type="dxa" w:w="1750"/>
            <w:tcMar>
              <w:top w:type="dxa" w:w="80"/>
              <w:left w:type="dxa" w:w="100"/>
              <w:bottom w:type="dxa" w:w="80"/>
              <w:right w:type="dxa" w:w="100"/>
            </w:tcMar>
          </w:tcPr>
          <w:p>
            <w:pPr>
              <w:spacing w:after="40"/>
            </w:pPr>
            <w:r>
              <w:rPr>
                <w:color w:val="333333"/>
                <w:sz w:val="18"/>
                <w:szCs w:val="18"/>
              </w:rPr>
              <w:t xml:space="preserve">Identificar qué géneros dominan el catálogo, considerando que un título puede pertenecer a varios géneros.</w:t>
            </w:r>
          </w:p>
        </w:tc>
        <w:tc>
          <w:tcPr>
            <w:tcW w:type="dxa" w:w="2210"/>
            <w:tcMar>
              <w:top w:type="dxa" w:w="80"/>
              <w:left w:type="dxa" w:w="100"/>
              <w:bottom w:type="dxa" w:w="80"/>
              <w:right w:type="dxa" w:w="100"/>
            </w:tcMar>
          </w:tcPr>
          <w:p>
            <w:pPr>
              <w:spacing w:after="40"/>
            </w:pPr>
            <w:r>
              <w:rPr>
                <w:color w:val="333333"/>
                <w:sz w:val="18"/>
                <w:szCs w:val="18"/>
              </w:rPr>
              <w:t xml:space="preserve">Top géneros: International Movies (2.752), Dramas (2.427), Comedies (1.674), International TV Shows (1.351)...</w:t>
            </w:r>
          </w:p>
        </w:tc>
        <w:tc>
          <w:tcPr>
            <w:tcW w:type="dxa" w:w="2000"/>
            <w:tcMar>
              <w:top w:type="dxa" w:w="80"/>
              <w:left w:type="dxa" w:w="100"/>
              <w:bottom w:type="dxa" w:w="80"/>
              <w:right w:type="dxa" w:w="100"/>
            </w:tcMar>
          </w:tcPr>
          <w:p>
            <w:pPr>
              <w:spacing w:after="40"/>
            </w:pPr>
            <w:r>
              <w:rPr>
                <w:color w:val="333333"/>
                <w:sz w:val="18"/>
                <w:szCs w:val="18"/>
              </w:rPr>
              <w:t xml:space="preserve">Insumo para un futuro sistema de recomendación o para segmentar el catálogo por preferencias de género.</w:t>
            </w:r>
          </w:p>
        </w:tc>
      </w:tr>
    </w:tbl>
    <w:p>
      <w:r>
        <w:br w:type="page"/>
      </w:r>
    </w:p>
    <w:p>
      <w:pPr>
        <w:pStyle w:val="Heading1"/>
        <w:pBdr>
          <w:bottom w:val="single" w:color="E50914" w:sz="12" w:space="4"/>
        </w:pBdr>
        <w:spacing w:after="150" w:before="300"/>
      </w:pPr>
      <w:r>
        <w:rPr>
          <w:b/>
          <w:bCs/>
          <w:color w:val="333333"/>
          <w:sz w:val="30"/>
          <w:szCs w:val="30"/>
        </w:rPr>
        <w:t xml:space="preserve">3. Dataset de valoraciones: netflix.csv</w:t>
      </w:r>
    </w:p>
    <w:p>
      <w:pPr>
        <w:spacing w:after="160" w:line="300"/>
      </w:pPr>
      <w:r>
        <w:rPr>
          <w:color w:val="333333"/>
          <w:sz w:val="21"/>
          <w:szCs w:val="21"/>
        </w:rPr>
        <w:t xml:space="preserve">1.000 registros originales, 7 columnas. Tras la limpieza (eliminación de 500 duplicados) quedaron 500 registros. La siguiente tabla muestra únicamente las columnas sobre las que se aplicó algún proceso; title, ratingdescription, rating_level, release_year y user_rating_size no tuvieron una transformación específica en el pipeline actual.</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250"/>
        <w:gridCol w:w="2150"/>
        <w:gridCol w:w="1750"/>
        <w:gridCol w:w="2210"/>
        <w:gridCol w:w="2000"/>
      </w:tblGrid>
      <w:tr>
        <w:trPr>
          <w:tblHeader/>
        </w:trPr>
        <w:tc>
          <w:tcPr>
            <w:tcW w:type="dxa" w:w="1250"/>
            <w:shd w:fill="E50914" w:val="clear"/>
            <w:tcMar>
              <w:top w:type="dxa" w:w="80"/>
              <w:left w:type="dxa" w:w="100"/>
              <w:bottom w:type="dxa" w:w="80"/>
              <w:right w:type="dxa" w:w="100"/>
            </w:tcMar>
            <w:vAlign w:val="center"/>
          </w:tcPr>
          <w:p>
            <w:pPr>
              <w:jc w:val="left"/>
            </w:pPr>
            <w:r>
              <w:rPr>
                <w:b/>
                <w:bCs/>
                <w:color w:val="FFFFFF"/>
                <w:sz w:val="18"/>
                <w:szCs w:val="18"/>
              </w:rPr>
              <w:t xml:space="preserve">Columna</w:t>
            </w:r>
          </w:p>
        </w:tc>
        <w:tc>
          <w:tcPr>
            <w:tcW w:type="dxa" w:w="2150"/>
            <w:shd w:fill="E50914" w:val="clear"/>
            <w:tcMar>
              <w:top w:type="dxa" w:w="80"/>
              <w:left w:type="dxa" w:w="100"/>
              <w:bottom w:type="dxa" w:w="80"/>
              <w:right w:type="dxa" w:w="100"/>
            </w:tcMar>
            <w:vAlign w:val="center"/>
          </w:tcPr>
          <w:p>
            <w:pPr>
              <w:jc w:val="left"/>
            </w:pPr>
            <w:r>
              <w:rPr>
                <w:b/>
                <w:bCs/>
                <w:color w:val="FFFFFF"/>
                <w:sz w:val="18"/>
                <w:szCs w:val="18"/>
              </w:rPr>
              <w:t xml:space="preserve">Proceso aplicado</w:t>
            </w:r>
          </w:p>
        </w:tc>
        <w:tc>
          <w:tcPr>
            <w:tcW w:type="dxa" w:w="1750"/>
            <w:shd w:fill="E50914" w:val="clear"/>
            <w:tcMar>
              <w:top w:type="dxa" w:w="80"/>
              <w:left w:type="dxa" w:w="100"/>
              <w:bottom w:type="dxa" w:w="80"/>
              <w:right w:type="dxa" w:w="100"/>
            </w:tcMar>
            <w:vAlign w:val="center"/>
          </w:tcPr>
          <w:p>
            <w:pPr>
              <w:jc w:val="left"/>
            </w:pPr>
            <w:r>
              <w:rPr>
                <w:b/>
                <w:bCs/>
                <w:color w:val="FFFFFF"/>
                <w:sz w:val="18"/>
                <w:szCs w:val="18"/>
              </w:rPr>
              <w:t xml:space="preserve">Objetivo</w:t>
            </w:r>
          </w:p>
        </w:tc>
        <w:tc>
          <w:tcPr>
            <w:tcW w:type="dxa" w:w="2210"/>
            <w:shd w:fill="E50914" w:val="clear"/>
            <w:tcMar>
              <w:top w:type="dxa" w:w="80"/>
              <w:left w:type="dxa" w:w="100"/>
              <w:bottom w:type="dxa" w:w="80"/>
              <w:right w:type="dxa" w:w="100"/>
            </w:tcMar>
            <w:vAlign w:val="center"/>
          </w:tcPr>
          <w:p>
            <w:pPr>
              <w:jc w:val="left"/>
            </w:pPr>
            <w:r>
              <w:rPr>
                <w:b/>
                <w:bCs/>
                <w:color w:val="FFFFFF"/>
                <w:sz w:val="18"/>
                <w:szCs w:val="18"/>
              </w:rPr>
              <w:t xml:space="preserve">Resultado obtenido</w:t>
            </w:r>
          </w:p>
        </w:tc>
        <w:tc>
          <w:tcPr>
            <w:tcW w:type="dxa" w:w="2000"/>
            <w:shd w:fill="E50914" w:val="clear"/>
            <w:tcMar>
              <w:top w:type="dxa" w:w="80"/>
              <w:left w:type="dxa" w:w="100"/>
              <w:bottom w:type="dxa" w:w="80"/>
              <w:right w:type="dxa" w:w="100"/>
            </w:tcMar>
            <w:vAlign w:val="center"/>
          </w:tcPr>
          <w:p>
            <w:pPr>
              <w:jc w:val="left"/>
            </w:pPr>
            <w:r>
              <w:rPr>
                <w:b/>
                <w:bCs/>
                <w:color w:val="FFFFFF"/>
                <w:sz w:val="18"/>
                <w:szCs w:val="18"/>
              </w:rPr>
              <w:t xml:space="preserve">Utilidad del dato</w:t>
            </w:r>
          </w:p>
        </w:tc>
      </w:tr>
      <w:tr>
        <w:tc>
          <w:tcPr>
            <w:tcW w:type="dxa" w:w="1250"/>
            <w:tcMar>
              <w:top w:type="dxa" w:w="80"/>
              <w:left w:type="dxa" w:w="100"/>
              <w:bottom w:type="dxa" w:w="80"/>
              <w:right w:type="dxa" w:w="100"/>
            </w:tcMar>
          </w:tcPr>
          <w:p>
            <w:pPr>
              <w:spacing w:after="40"/>
            </w:pPr>
            <w:r>
              <w:rPr>
                <w:color w:val="333333"/>
                <w:sz w:val="18"/>
                <w:szCs w:val="18"/>
              </w:rPr>
              <w:t xml:space="preserve">rating</w:t>
            </w:r>
          </w:p>
        </w:tc>
        <w:tc>
          <w:tcPr>
            <w:tcW w:type="dxa" w:w="2150"/>
            <w:tcMar>
              <w:top w:type="dxa" w:w="80"/>
              <w:left w:type="dxa" w:w="100"/>
              <w:bottom w:type="dxa" w:w="80"/>
              <w:right w:type="dxa" w:w="100"/>
            </w:tcMar>
          </w:tcPr>
          <w:p>
            <w:pPr>
              <w:spacing w:after="40"/>
            </w:pPr>
            <w:r>
              <w:rPr>
                <w:color w:val="333333"/>
                <w:sz w:val="18"/>
                <w:szCs w:val="18"/>
              </w:rPr>
              <w:t xml:space="preserve">Se limpiaron duplicados (500 filas eliminadas) y valores nulos aplicando el mismo proceso general de limpieza.</w:t>
            </w:r>
          </w:p>
        </w:tc>
        <w:tc>
          <w:tcPr>
            <w:tcW w:type="dxa" w:w="1750"/>
            <w:tcMar>
              <w:top w:type="dxa" w:w="80"/>
              <w:left w:type="dxa" w:w="100"/>
              <w:bottom w:type="dxa" w:w="80"/>
              <w:right w:type="dxa" w:w="100"/>
            </w:tcMar>
          </w:tcPr>
          <w:p>
            <w:pPr>
              <w:spacing w:after="40"/>
            </w:pPr>
            <w:r>
              <w:rPr>
                <w:color w:val="333333"/>
                <w:sz w:val="18"/>
                <w:szCs w:val="18"/>
              </w:rPr>
              <w:t xml:space="preserve">Contar con una clasificación por edades confiable en este dataset independiente.</w:t>
            </w:r>
          </w:p>
        </w:tc>
        <w:tc>
          <w:tcPr>
            <w:tcW w:type="dxa" w:w="2210"/>
            <w:tcMar>
              <w:top w:type="dxa" w:w="80"/>
              <w:left w:type="dxa" w:w="100"/>
              <w:bottom w:type="dxa" w:w="80"/>
              <w:right w:type="dxa" w:w="100"/>
            </w:tcMar>
          </w:tcPr>
          <w:p>
            <w:pPr>
              <w:spacing w:after="40"/>
            </w:pPr>
            <w:r>
              <w:rPr>
                <w:color w:val="333333"/>
                <w:sz w:val="18"/>
                <w:szCs w:val="18"/>
              </w:rPr>
              <w:t xml:space="preserve">Columna sin nulos tras la limpieza.</w:t>
            </w:r>
          </w:p>
        </w:tc>
        <w:tc>
          <w:tcPr>
            <w:tcW w:type="dxa" w:w="2000"/>
            <w:tcMar>
              <w:top w:type="dxa" w:w="80"/>
              <w:left w:type="dxa" w:w="100"/>
              <w:bottom w:type="dxa" w:w="80"/>
              <w:right w:type="dxa" w:w="100"/>
            </w:tcMar>
          </w:tcPr>
          <w:p>
            <w:pPr>
              <w:spacing w:after="40"/>
            </w:pPr>
            <w:r>
              <w:rPr>
                <w:color w:val="333333"/>
                <w:sz w:val="18"/>
                <w:szCs w:val="18"/>
              </w:rPr>
              <w:t xml:space="preserve">Puede compararse contra el 'rating' del dataset principal si se cruzan ambas fuentes.</w:t>
            </w:r>
          </w:p>
        </w:tc>
      </w:tr>
      <w:tr>
        <w:tc>
          <w:tcPr>
            <w:tcW w:type="dxa" w:w="1250"/>
            <w:shd w:fill="F2F2F2" w:val="clear"/>
            <w:tcMar>
              <w:top w:type="dxa" w:w="80"/>
              <w:left w:type="dxa" w:w="100"/>
              <w:bottom w:type="dxa" w:w="80"/>
              <w:right w:type="dxa" w:w="100"/>
            </w:tcMar>
          </w:tcPr>
          <w:p>
            <w:pPr>
              <w:spacing w:after="40"/>
            </w:pPr>
            <w:r>
              <w:rPr>
                <w:color w:val="333333"/>
                <w:sz w:val="18"/>
                <w:szCs w:val="18"/>
              </w:rPr>
              <w:t xml:space="preserve">user_rating_score</w:t>
            </w:r>
          </w:p>
        </w:tc>
        <w:tc>
          <w:tcPr>
            <w:tcW w:type="dxa" w:w="2150"/>
            <w:shd w:fill="F2F2F2" w:val="clear"/>
            <w:tcMar>
              <w:top w:type="dxa" w:w="80"/>
              <w:left w:type="dxa" w:w="100"/>
              <w:bottom w:type="dxa" w:w="80"/>
              <w:right w:type="dxa" w:w="100"/>
            </w:tcMar>
          </w:tcPr>
          <w:p>
            <w:pPr>
              <w:spacing w:after="40"/>
            </w:pPr>
            <w:r>
              <w:rPr>
                <w:color w:val="333333"/>
                <w:sz w:val="18"/>
                <w:szCs w:val="18"/>
              </w:rPr>
              <w:t xml:space="preserve">Se calcularon estadísticas descriptivas (describe) y la distribución de frecuencias, tras limpiar duplicados y nulos.</w:t>
            </w:r>
          </w:p>
        </w:tc>
        <w:tc>
          <w:tcPr>
            <w:tcW w:type="dxa" w:w="1750"/>
            <w:shd w:fill="F2F2F2" w:val="clear"/>
            <w:tcMar>
              <w:top w:type="dxa" w:w="80"/>
              <w:left w:type="dxa" w:w="100"/>
              <w:bottom w:type="dxa" w:w="80"/>
              <w:right w:type="dxa" w:w="100"/>
            </w:tcMar>
          </w:tcPr>
          <w:p>
            <w:pPr>
              <w:spacing w:after="40"/>
            </w:pPr>
            <w:r>
              <w:rPr>
                <w:color w:val="333333"/>
                <w:sz w:val="18"/>
                <w:szCs w:val="18"/>
              </w:rPr>
              <w:t xml:space="preserve">Entender cómo perciben los usuarios la calidad del contenido valorado.</w:t>
            </w:r>
          </w:p>
        </w:tc>
        <w:tc>
          <w:tcPr>
            <w:tcW w:type="dxa" w:w="2210"/>
            <w:shd w:fill="F2F2F2" w:val="clear"/>
            <w:tcMar>
              <w:top w:type="dxa" w:w="80"/>
              <w:left w:type="dxa" w:w="100"/>
              <w:bottom w:type="dxa" w:w="80"/>
              <w:right w:type="dxa" w:w="100"/>
            </w:tcMar>
          </w:tcPr>
          <w:p>
            <w:pPr>
              <w:spacing w:after="40"/>
            </w:pPr>
            <w:r>
              <w:rPr>
                <w:color w:val="333333"/>
                <w:sz w:val="18"/>
                <w:szCs w:val="18"/>
              </w:rPr>
              <w:t xml:space="preserve">256 valoraciones válidas. Promedio 81,4 puntos (mín. 55, máx. 99).</w:t>
            </w:r>
          </w:p>
        </w:tc>
        <w:tc>
          <w:tcPr>
            <w:tcW w:type="dxa" w:w="2000"/>
            <w:shd w:fill="F2F2F2" w:val="clear"/>
            <w:tcMar>
              <w:top w:type="dxa" w:w="80"/>
              <w:left w:type="dxa" w:w="100"/>
              <w:bottom w:type="dxa" w:w="80"/>
              <w:right w:type="dxa" w:w="100"/>
            </w:tcMar>
          </w:tcPr>
          <w:p>
            <w:pPr>
              <w:spacing w:after="40"/>
            </w:pPr>
            <w:r>
              <w:rPr>
                <w:color w:val="333333"/>
                <w:sz w:val="18"/>
                <w:szCs w:val="18"/>
              </w:rPr>
              <w:t xml:space="preserve">Mide la percepción de calidad; cruzable a futuro con género, país o duración para buscar correlaciones.</w:t>
            </w:r>
          </w:p>
        </w:tc>
      </w:tr>
    </w:tbl>
    <w:p>
      <w:pPr>
        <w:pStyle w:val="Heading2"/>
        <w:spacing w:after="120" w:before="260"/>
      </w:pPr>
      <w:r>
        <w:rPr>
          <w:b/>
          <w:bCs/>
          <w:color w:val="E50914"/>
          <w:sz w:val="24"/>
          <w:szCs w:val="24"/>
        </w:rPr>
        <w:t xml:space="preserve">Nota de calidad de datos</w:t>
      </w:r>
    </w:p>
    <w:p>
      <w:pPr>
        <w:spacing w:after="160" w:line="300"/>
      </w:pPr>
      <w:r>
        <w:rPr>
          <w:color w:val="333333"/>
          <w:sz w:val="21"/>
          <w:szCs w:val="21"/>
        </w:rPr>
        <w:t xml:space="preserve">Se eliminaron 500 registros duplicados exactos de un total de 1.000 (50%). Antes de la presentación final se recomienda verificar con datosValoraciones.duplicated().sum() si corresponden a duplicados legítimos de carga o a un problema en la fuente del archivo.</w:t>
      </w:r>
    </w:p>
    <w:p>
      <w:r>
        <w:br w:type="page"/>
      </w:r>
    </w:p>
    <w:p>
      <w:pPr>
        <w:pStyle w:val="Heading1"/>
        <w:pBdr>
          <w:bottom w:val="single" w:color="E50914" w:sz="12" w:space="4"/>
        </w:pBdr>
        <w:spacing w:after="150" w:before="300"/>
      </w:pPr>
      <w:r>
        <w:rPr>
          <w:b/>
          <w:bCs/>
          <w:color w:val="333333"/>
          <w:sz w:val="30"/>
          <w:szCs w:val="30"/>
        </w:rPr>
        <w:t xml:space="preserve">4. Hallazgos generales del procesamiento</w:t>
      </w:r>
    </w:p>
    <w:p>
      <w:pPr>
        <w:pStyle w:val="ListParagraph"/>
        <w:numPr>
          <w:ilvl w:val="0"/>
          <w:numId w:val="1"/>
        </w:numPr>
        <w:spacing w:after="80" w:line="280"/>
      </w:pPr>
      <w:r>
        <w:rPr>
          <w:color w:val="333333"/>
          <w:sz w:val="21"/>
          <w:szCs w:val="21"/>
        </w:rPr>
        <w:t xml:space="preserve">Calidad de datos: las columnas director, cast y country tenían entre 9% y 30% de valores nulos, todos preservados como "Desconocido" en vez de eliminar filas.</w:t>
      </w:r>
    </w:p>
    <w:p>
      <w:pPr>
        <w:pStyle w:val="ListParagraph"/>
        <w:numPr>
          <w:ilvl w:val="0"/>
          <w:numId w:val="1"/>
        </w:numPr>
        <w:spacing w:after="80" w:line="280"/>
      </w:pPr>
      <w:r>
        <w:rPr>
          <w:color w:val="333333"/>
          <w:sz w:val="21"/>
          <w:szCs w:val="21"/>
        </w:rPr>
        <w:t xml:space="preserve">Inconsistencia detectada y corregida: varias filas sin country tenían su duración guardada por error en la columna rating (desplazamiento de columnas en el CSV original). Se identificaron y reubicaron antes de calcular estadísticas de duración y clasificación.</w:t>
      </w:r>
    </w:p>
    <w:p>
      <w:pPr>
        <w:pStyle w:val="ListParagraph"/>
        <w:numPr>
          <w:ilvl w:val="0"/>
          <w:numId w:val="1"/>
        </w:numPr>
        <w:spacing w:after="80" w:line="280"/>
      </w:pPr>
      <w:r>
        <w:rPr>
          <w:color w:val="333333"/>
          <w:sz w:val="21"/>
          <w:szCs w:val="21"/>
        </w:rPr>
        <w:t xml:space="preserve">Antigüedad del contenido: en promedio, un título llega a Netflix 4,7 años después de su lanzamiento; el valor mínimo de -3 se documenta como una inconsistencia del dataset (fecha de lanzamiento regional u error de carga), no como un error del pipeline.</w:t>
      </w:r>
    </w:p>
    <w:p>
      <w:pPr>
        <w:pStyle w:val="ListParagraph"/>
        <w:numPr>
          <w:ilvl w:val="0"/>
          <w:numId w:val="1"/>
        </w:numPr>
        <w:spacing w:after="80" w:line="280"/>
      </w:pPr>
      <w:r>
        <w:rPr>
          <w:color w:val="333333"/>
          <w:sz w:val="21"/>
          <w:szCs w:val="21"/>
        </w:rPr>
        <w:t xml:space="preserve">Crecimiento del catálogo: el mayor ritmo de incorporación de contenido fue entre 2017 y 2019, con una caída marcada en 2020-2021.</w:t>
      </w:r>
    </w:p>
    <w:p>
      <w:pPr>
        <w:pStyle w:val="ListParagraph"/>
        <w:numPr>
          <w:ilvl w:val="0"/>
          <w:numId w:val="1"/>
        </w:numPr>
        <w:spacing w:after="80" w:line="280"/>
      </w:pPr>
      <w:r>
        <w:rPr>
          <w:color w:val="333333"/>
          <w:sz w:val="21"/>
          <w:szCs w:val="21"/>
        </w:rPr>
        <w:t xml:space="preserve">Percepción de calidad: las 256 valoraciones válidas de usuarios muestran un promedio alto (81,4/100), aunque sobre una base reducida del dataset original de 1.000 registros.</w:t>
      </w:r>
    </w:p>
    <w:p>
      <w:pPr>
        <w:pStyle w:val="Heading1"/>
        <w:pBdr>
          <w:bottom w:val="single" w:color="E50914" w:sz="12" w:space="4"/>
        </w:pBdr>
        <w:spacing w:after="150" w:before="300"/>
      </w:pPr>
      <w:r>
        <w:rPr>
          <w:b/>
          <w:bCs/>
          <w:color w:val="333333"/>
          <w:sz w:val="30"/>
          <w:szCs w:val="30"/>
        </w:rPr>
        <w:t xml:space="preserve">5. Qué se puede hacer con estos datos</w:t>
      </w:r>
    </w:p>
    <w:p>
      <w:pPr>
        <w:pStyle w:val="ListParagraph"/>
        <w:numPr>
          <w:ilvl w:val="0"/>
          <w:numId w:val="1"/>
        </w:numPr>
        <w:spacing w:after="80" w:line="280"/>
      </w:pPr>
      <w:r>
        <w:rPr>
          <w:color w:val="333333"/>
          <w:sz w:val="21"/>
          <w:szCs w:val="21"/>
        </w:rPr>
        <w:t xml:space="preserve">Dashboards de negocio: seguimiento del crecimiento del catálogo, mezcla de géneros y países dominantes por año.</w:t>
      </w:r>
    </w:p>
    <w:p>
      <w:pPr>
        <w:pStyle w:val="ListParagraph"/>
        <w:numPr>
          <w:ilvl w:val="0"/>
          <w:numId w:val="1"/>
        </w:numPr>
        <w:spacing w:after="80" w:line="280"/>
      </w:pPr>
      <w:r>
        <w:rPr>
          <w:color w:val="333333"/>
          <w:sz w:val="21"/>
          <w:szCs w:val="21"/>
        </w:rPr>
        <w:t xml:space="preserve">Sistema de recomendación básico: usando género (listed_in), país y descripción como insumos de similitud entre títulos.</w:t>
      </w:r>
    </w:p>
    <w:p>
      <w:pPr>
        <w:pStyle w:val="ListParagraph"/>
        <w:numPr>
          <w:ilvl w:val="0"/>
          <w:numId w:val="1"/>
        </w:numPr>
        <w:spacing w:after="80" w:line="280"/>
      </w:pPr>
      <w:r>
        <w:rPr>
          <w:color w:val="333333"/>
          <w:sz w:val="21"/>
          <w:szCs w:val="21"/>
        </w:rPr>
        <w:t xml:space="preserve">Análisis de calidad percibida: cruzar user_rating_score con género, país o duración una vez se integren ambos datasets por título.</w:t>
      </w:r>
    </w:p>
    <w:p>
      <w:pPr>
        <w:pStyle w:val="ListParagraph"/>
        <w:numPr>
          <w:ilvl w:val="0"/>
          <w:numId w:val="1"/>
        </w:numPr>
        <w:spacing w:after="80" w:line="280"/>
      </w:pPr>
      <w:r>
        <w:rPr>
          <w:color w:val="333333"/>
          <w:sz w:val="21"/>
          <w:szCs w:val="21"/>
        </w:rPr>
        <w:t xml:space="preserve">Minería de texto: aprovechar la columna description (sin explotar aún) para nubes de palabras o clasificación temática automática.</w:t>
      </w:r>
    </w:p>
    <w:p>
      <w:pPr>
        <w:pStyle w:val="ListParagraph"/>
        <w:numPr>
          <w:ilvl w:val="0"/>
          <w:numId w:val="1"/>
        </w:numPr>
        <w:spacing w:after="80" w:line="280"/>
      </w:pPr>
      <w:r>
        <w:rPr>
          <w:color w:val="333333"/>
          <w:sz w:val="21"/>
          <w:szCs w:val="21"/>
        </w:rPr>
        <w:t xml:space="preserve">Auditoría de calidad de datos: el caso de los ratings/duración desplazados es un ejemplo documentable de cómo detectar y corregir errores de carga en un dataset real, valioso para la fase de evaluación del proyecto.</w:t>
      </w:r>
    </w:p>
    <w:p>
      <w:r>
        <w:br w:type="page"/>
      </w:r>
    </w:p>
    <w:p>
      <w:pPr>
        <w:pStyle w:val="Heading1"/>
        <w:pBdr>
          <w:bottom w:val="single" w:color="E50914" w:sz="12" w:space="4"/>
        </w:pBdr>
        <w:spacing w:after="150" w:before="300"/>
      </w:pPr>
      <w:r>
        <w:rPr>
          <w:b/>
          <w:bCs/>
          <w:color w:val="333333"/>
          <w:sz w:val="30"/>
          <w:szCs w:val="30"/>
        </w:rPr>
        <w:t xml:space="preserve">6. Caso de estudio: antigüedad negativa al agregar</w:t>
      </w:r>
    </w:p>
    <w:p>
      <w:pPr>
        <w:spacing w:after="160" w:line="300"/>
      </w:pPr>
      <w:r>
        <w:rPr>
          <w:color w:val="333333"/>
          <w:sz w:val="21"/>
          <w:szCs w:val="21"/>
        </w:rPr>
        <w:t xml:space="preserve">Se identificaron 14 registros (0,16% de los 8.709 títulos con fecha válida) donde la 'antigüedad al agregar' (added_year - release_year) resulta negativa. Antes de asumir un error del pipeline, se revisaron los casos concretos: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400"/>
        <w:gridCol w:w="1600"/>
        <w:gridCol w:w="2100"/>
        <w:gridCol w:w="1860"/>
      </w:tblGrid>
      <w:tr>
        <w:trPr>
          <w:tblHeader/>
        </w:trPr>
        <w:tc>
          <w:tcPr>
            <w:tcW w:type="dxa" w:w="2400"/>
            <w:shd w:fill="E50914" w:val="clear"/>
            <w:tcMar>
              <w:top w:type="dxa" w:w="80"/>
              <w:left w:type="dxa" w:w="100"/>
              <w:bottom w:type="dxa" w:w="80"/>
              <w:right w:type="dxa" w:w="100"/>
            </w:tcMar>
            <w:vAlign w:val="center"/>
          </w:tcPr>
          <w:p>
            <w:pPr>
              <w:jc w:val="left"/>
            </w:pPr>
            <w:r>
              <w:rPr>
                <w:b/>
                <w:bCs/>
                <w:color w:val="FFFFFF"/>
                <w:sz w:val="18"/>
                <w:szCs w:val="18"/>
              </w:rPr>
              <w:t xml:space="preserve">Título</w:t>
            </w:r>
          </w:p>
        </w:tc>
        <w:tc>
          <w:tcPr>
            <w:tcW w:type="dxa" w:w="1400"/>
            <w:shd w:fill="E50914" w:val="clear"/>
            <w:tcMar>
              <w:top w:type="dxa" w:w="80"/>
              <w:left w:type="dxa" w:w="100"/>
              <w:bottom w:type="dxa" w:w="80"/>
              <w:right w:type="dxa" w:w="100"/>
            </w:tcMar>
            <w:vAlign w:val="center"/>
          </w:tcPr>
          <w:p>
            <w:pPr>
              <w:jc w:val="left"/>
            </w:pPr>
            <w:r>
              <w:rPr>
                <w:b/>
                <w:bCs/>
                <w:color w:val="FFFFFF"/>
                <w:sz w:val="18"/>
                <w:szCs w:val="18"/>
              </w:rPr>
              <w:t xml:space="preserve">Tipo</w:t>
            </w:r>
          </w:p>
        </w:tc>
        <w:tc>
          <w:tcPr>
            <w:tcW w:type="dxa" w:w="1600"/>
            <w:shd w:fill="E50914" w:val="clear"/>
            <w:tcMar>
              <w:top w:type="dxa" w:w="80"/>
              <w:left w:type="dxa" w:w="100"/>
              <w:bottom w:type="dxa" w:w="80"/>
              <w:right w:type="dxa" w:w="100"/>
            </w:tcMar>
            <w:vAlign w:val="center"/>
          </w:tcPr>
          <w:p>
            <w:pPr>
              <w:jc w:val="left"/>
            </w:pPr>
            <w:r>
              <w:rPr>
                <w:b/>
                <w:bCs/>
                <w:color w:val="FFFFFF"/>
                <w:sz w:val="18"/>
                <w:szCs w:val="18"/>
              </w:rPr>
              <w:t xml:space="preserve">Año lanzamiento</w:t>
            </w:r>
          </w:p>
        </w:tc>
        <w:tc>
          <w:tcPr>
            <w:tcW w:type="dxa" w:w="2100"/>
            <w:shd w:fill="E50914" w:val="clear"/>
            <w:tcMar>
              <w:top w:type="dxa" w:w="80"/>
              <w:left w:type="dxa" w:w="100"/>
              <w:bottom w:type="dxa" w:w="80"/>
              <w:right w:type="dxa" w:w="100"/>
            </w:tcMar>
            <w:vAlign w:val="center"/>
          </w:tcPr>
          <w:p>
            <w:pPr>
              <w:jc w:val="left"/>
            </w:pPr>
            <w:r>
              <w:rPr>
                <w:b/>
                <w:bCs/>
                <w:color w:val="FFFFFF"/>
                <w:sz w:val="18"/>
                <w:szCs w:val="18"/>
              </w:rPr>
              <w:t xml:space="preserve">Fecha agregado</w:t>
            </w:r>
          </w:p>
        </w:tc>
        <w:tc>
          <w:tcPr>
            <w:tcW w:type="dxa" w:w="1860"/>
            <w:shd w:fill="E50914" w:val="clear"/>
            <w:tcMar>
              <w:top w:type="dxa" w:w="80"/>
              <w:left w:type="dxa" w:w="100"/>
              <w:bottom w:type="dxa" w:w="80"/>
              <w:right w:type="dxa" w:w="100"/>
            </w:tcMar>
            <w:vAlign w:val="center"/>
          </w:tcPr>
          <w:p>
            <w:pPr>
              <w:jc w:val="left"/>
            </w:pPr>
            <w:r>
              <w:rPr>
                <w:b/>
                <w:bCs/>
                <w:color w:val="FFFFFF"/>
                <w:sz w:val="18"/>
                <w:szCs w:val="18"/>
              </w:rPr>
              <w:t xml:space="preserve">Antigüedad</w:t>
            </w:r>
          </w:p>
        </w:tc>
      </w:tr>
      <w:tr>
        <w:tc>
          <w:tcPr>
            <w:tcW w:type="dxa" w:w="2400"/>
            <w:tcMar>
              <w:top w:type="dxa" w:w="80"/>
              <w:left w:type="dxa" w:w="100"/>
              <w:bottom w:type="dxa" w:w="80"/>
              <w:right w:type="dxa" w:w="100"/>
            </w:tcMar>
          </w:tcPr>
          <w:p>
            <w:pPr>
              <w:spacing w:after="40"/>
            </w:pPr>
            <w:r>
              <w:rPr>
                <w:color w:val="333333"/>
                <w:sz w:val="18"/>
                <w:szCs w:val="18"/>
              </w:rPr>
              <w:t xml:space="preserve">Jack Taylor</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2016</w:t>
            </w:r>
          </w:p>
        </w:tc>
        <w:tc>
          <w:tcPr>
            <w:tcW w:type="dxa" w:w="2100"/>
            <w:tcMar>
              <w:top w:type="dxa" w:w="80"/>
              <w:left w:type="dxa" w:w="100"/>
              <w:bottom w:type="dxa" w:w="80"/>
              <w:right w:type="dxa" w:w="100"/>
            </w:tcMar>
          </w:tcPr>
          <w:p>
            <w:pPr>
              <w:spacing w:after="40"/>
            </w:pPr>
            <w:r>
              <w:rPr>
                <w:color w:val="333333"/>
                <w:sz w:val="18"/>
                <w:szCs w:val="18"/>
              </w:rPr>
              <w:t xml:space="preserve">2013-03-31</w:t>
            </w:r>
          </w:p>
        </w:tc>
        <w:tc>
          <w:tcPr>
            <w:tcW w:type="dxa" w:w="1860"/>
            <w:tcMar>
              <w:top w:type="dxa" w:w="80"/>
              <w:left w:type="dxa" w:w="100"/>
              <w:bottom w:type="dxa" w:w="80"/>
              <w:right w:type="dxa" w:w="100"/>
            </w:tcMar>
          </w:tcPr>
          <w:p>
            <w:pPr>
              <w:spacing w:after="40"/>
            </w:pPr>
            <w:r>
              <w:rPr>
                <w:color w:val="333333"/>
                <w:sz w:val="18"/>
                <w:szCs w:val="18"/>
              </w:rPr>
              <w:t xml:space="preserve">-3</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Sense8</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2018</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2016-12-23</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-2</w:t>
            </w:r>
          </w:p>
        </w:tc>
      </w:tr>
      <w:tr>
        <w:tc>
          <w:tcPr>
            <w:tcW w:type="dxa" w:w="2400"/>
            <w:tcMar>
              <w:top w:type="dxa" w:w="80"/>
              <w:left w:type="dxa" w:w="100"/>
              <w:bottom w:type="dxa" w:w="80"/>
              <w:right w:type="dxa" w:w="100"/>
            </w:tcMar>
          </w:tcPr>
          <w:p>
            <w:pPr>
              <w:spacing w:after="40"/>
            </w:pPr>
            <w:r>
              <w:rPr>
                <w:color w:val="333333"/>
                <w:sz w:val="18"/>
                <w:szCs w:val="18"/>
              </w:rPr>
              <w:t xml:space="preserve">Hilda</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2021</w:t>
            </w:r>
          </w:p>
        </w:tc>
        <w:tc>
          <w:tcPr>
            <w:tcW w:type="dxa" w:w="2100"/>
            <w:tcMar>
              <w:top w:type="dxa" w:w="80"/>
              <w:left w:type="dxa" w:w="100"/>
              <w:bottom w:type="dxa" w:w="80"/>
              <w:right w:type="dxa" w:w="100"/>
            </w:tcMar>
          </w:tcPr>
          <w:p>
            <w:pPr>
              <w:spacing w:after="40"/>
            </w:pPr>
            <w:r>
              <w:rPr>
                <w:color w:val="333333"/>
                <w:sz w:val="18"/>
                <w:szCs w:val="18"/>
              </w:rPr>
              <w:t xml:space="preserve">2020-12-14</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Polly Pocket</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2021</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2020-11-15</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r>
        <w:tc>
          <w:tcPr>
            <w:tcW w:type="dxa" w:w="2400"/>
            <w:tcMar>
              <w:top w:type="dxa" w:w="80"/>
              <w:left w:type="dxa" w:w="100"/>
              <w:bottom w:type="dxa" w:w="80"/>
              <w:right w:type="dxa" w:w="100"/>
            </w:tcMar>
          </w:tcPr>
          <w:p>
            <w:pPr>
              <w:spacing w:after="40"/>
            </w:pPr>
            <w:r>
              <w:rPr>
                <w:color w:val="333333"/>
                <w:sz w:val="18"/>
                <w:szCs w:val="18"/>
              </w:rPr>
              <w:t xml:space="preserve">Maradona in Mexico</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2020</w:t>
            </w:r>
          </w:p>
        </w:tc>
        <w:tc>
          <w:tcPr>
            <w:tcW w:type="dxa" w:w="2100"/>
            <w:tcMar>
              <w:top w:type="dxa" w:w="80"/>
              <w:left w:type="dxa" w:w="100"/>
              <w:bottom w:type="dxa" w:w="80"/>
              <w:right w:type="dxa" w:w="100"/>
            </w:tcMar>
          </w:tcPr>
          <w:p>
            <w:pPr>
              <w:spacing w:after="40"/>
            </w:pPr>
            <w:r>
              <w:rPr>
                <w:color w:val="333333"/>
                <w:sz w:val="18"/>
                <w:szCs w:val="18"/>
              </w:rPr>
              <w:t xml:space="preserve">2019-11-13</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BoJack Horseman</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2020</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2019-10-25</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r>
        <w:tc>
          <w:tcPr>
            <w:tcW w:type="dxa" w:w="2400"/>
            <w:tcMar>
              <w:top w:type="dxa" w:w="80"/>
              <w:left w:type="dxa" w:w="100"/>
              <w:bottom w:type="dxa" w:w="80"/>
              <w:right w:type="dxa" w:w="100"/>
            </w:tcMar>
          </w:tcPr>
          <w:p>
            <w:pPr>
              <w:spacing w:after="40"/>
            </w:pPr>
            <w:r>
              <w:rPr>
                <w:color w:val="333333"/>
                <w:sz w:val="18"/>
                <w:szCs w:val="18"/>
              </w:rPr>
              <w:t xml:space="preserve">Love Is Blind</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2021</w:t>
            </w:r>
          </w:p>
        </w:tc>
        <w:tc>
          <w:tcPr>
            <w:tcW w:type="dxa" w:w="2100"/>
            <w:tcMar>
              <w:top w:type="dxa" w:w="80"/>
              <w:left w:type="dxa" w:w="100"/>
              <w:bottom w:type="dxa" w:w="80"/>
              <w:right w:type="dxa" w:w="100"/>
            </w:tcMar>
          </w:tcPr>
          <w:p>
            <w:pPr>
              <w:spacing w:after="40"/>
            </w:pPr>
            <w:r>
              <w:rPr>
                <w:color w:val="333333"/>
                <w:sz w:val="18"/>
                <w:szCs w:val="18"/>
              </w:rPr>
              <w:t xml:space="preserve">2020-02-13</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Fuller House</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2020</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2019-12-06</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r>
        <w:tc>
          <w:tcPr>
            <w:tcW w:type="dxa" w:w="2400"/>
            <w:tcMar>
              <w:top w:type="dxa" w:w="80"/>
              <w:left w:type="dxa" w:w="100"/>
              <w:bottom w:type="dxa" w:w="80"/>
              <w:right w:type="dxa" w:w="100"/>
            </w:tcMar>
          </w:tcPr>
          <w:p>
            <w:pPr>
              <w:spacing w:after="40"/>
            </w:pPr>
            <w:r>
              <w:rPr>
                <w:color w:val="333333"/>
                <w:sz w:val="18"/>
                <w:szCs w:val="18"/>
              </w:rPr>
              <w:t xml:space="preserve">Unbreakable Kimmy Schmidt</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2019</w:t>
            </w:r>
          </w:p>
        </w:tc>
        <w:tc>
          <w:tcPr>
            <w:tcW w:type="dxa" w:w="2100"/>
            <w:tcMar>
              <w:top w:type="dxa" w:w="80"/>
              <w:left w:type="dxa" w:w="100"/>
              <w:bottom w:type="dxa" w:w="80"/>
              <w:right w:type="dxa" w:w="100"/>
            </w:tcMar>
          </w:tcPr>
          <w:p>
            <w:pPr>
              <w:spacing w:after="40"/>
            </w:pPr>
            <w:r>
              <w:rPr>
                <w:color w:val="333333"/>
                <w:sz w:val="18"/>
                <w:szCs w:val="18"/>
              </w:rPr>
              <w:t xml:space="preserve">2018-05-30</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The Hook Up Plan</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2020</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2019-10-11</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r>
        <w:tc>
          <w:tcPr>
            <w:tcW w:type="dxa" w:w="2400"/>
            <w:tcMar>
              <w:top w:type="dxa" w:w="80"/>
              <w:left w:type="dxa" w:w="100"/>
              <w:bottom w:type="dxa" w:w="80"/>
              <w:right w:type="dxa" w:w="100"/>
            </w:tcMar>
          </w:tcPr>
          <w:p>
            <w:pPr>
              <w:spacing w:after="40"/>
            </w:pPr>
            <w:r>
              <w:rPr>
                <w:color w:val="333333"/>
                <w:sz w:val="18"/>
                <w:szCs w:val="18"/>
              </w:rPr>
              <w:t xml:space="preserve">Hans Teeuwen: Real Rancour</w:t>
            </w:r>
          </w:p>
        </w:tc>
        <w:tc>
          <w:tcPr>
            <w:tcW w:type="dxa" w:w="1400"/>
            <w:tcMar>
              <w:top w:type="dxa" w:w="80"/>
              <w:left w:type="dxa" w:w="100"/>
              <w:bottom w:type="dxa" w:w="80"/>
              <w:right w:type="dxa" w:w="100"/>
            </w:tcMar>
          </w:tcPr>
          <w:p>
            <w:pPr>
              <w:spacing w:after="40"/>
            </w:pPr>
            <w:r>
              <w:rPr>
                <w:color w:val="333333"/>
                <w:sz w:val="18"/>
                <w:szCs w:val="18"/>
              </w:rPr>
              <w:t xml:space="preserve">Movie</w:t>
            </w:r>
          </w:p>
        </w:tc>
        <w:tc>
          <w:tcPr>
            <w:tcW w:type="dxa" w:w="1600"/>
            <w:tcMar>
              <w:top w:type="dxa" w:w="80"/>
              <w:left w:type="dxa" w:w="100"/>
              <w:bottom w:type="dxa" w:w="80"/>
              <w:right w:type="dxa" w:w="100"/>
            </w:tcMar>
          </w:tcPr>
          <w:p>
            <w:pPr>
              <w:spacing w:after="40"/>
            </w:pPr>
            <w:r>
              <w:rPr>
                <w:color w:val="333333"/>
                <w:sz w:val="18"/>
                <w:szCs w:val="18"/>
              </w:rPr>
              <w:t xml:space="preserve">2018</w:t>
            </w:r>
          </w:p>
        </w:tc>
        <w:tc>
          <w:tcPr>
            <w:tcW w:type="dxa" w:w="2100"/>
            <w:tcMar>
              <w:top w:type="dxa" w:w="80"/>
              <w:left w:type="dxa" w:w="100"/>
              <w:bottom w:type="dxa" w:w="80"/>
              <w:right w:type="dxa" w:w="100"/>
            </w:tcMar>
          </w:tcPr>
          <w:p>
            <w:pPr>
              <w:spacing w:after="40"/>
            </w:pPr>
            <w:r>
              <w:rPr>
                <w:color w:val="333333"/>
                <w:sz w:val="18"/>
                <w:szCs w:val="18"/>
              </w:rPr>
              <w:t xml:space="preserve">2017-07-01</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Arrested Development</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TV Show</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2019</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2018-05-29</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r>
        <w:tc>
          <w:tcPr>
            <w:tcW w:type="dxa" w:w="2400"/>
            <w:tcMar>
              <w:top w:type="dxa" w:w="80"/>
              <w:left w:type="dxa" w:w="100"/>
              <w:bottom w:type="dxa" w:w="80"/>
              <w:right w:type="dxa" w:w="100"/>
            </w:tcMar>
          </w:tcPr>
          <w:p>
            <w:pPr>
              <w:spacing w:after="40"/>
            </w:pPr>
            <w:r>
              <w:rPr>
                <w:color w:val="333333"/>
                <w:sz w:val="18"/>
                <w:szCs w:val="18"/>
              </w:rPr>
              <w:t xml:space="preserve">Tokyo Trial</w:t>
            </w:r>
          </w:p>
        </w:tc>
        <w:tc>
          <w:tcPr>
            <w:tcW w:type="dxa" w:w="1400"/>
            <w:tcMar>
              <w:top w:type="dxa" w:w="80"/>
              <w:left w:type="dxa" w:w="100"/>
              <w:bottom w:type="dxa" w:w="80"/>
              <w:right w:type="dxa" w:w="100"/>
            </w:tcMar>
          </w:tcPr>
          <w:p>
            <w:pPr>
              <w:spacing w:after="40"/>
            </w:pPr>
            <w:r>
              <w:rPr>
                <w:color w:val="333333"/>
                <w:sz w:val="18"/>
                <w:szCs w:val="18"/>
              </w:rPr>
              <w:t xml:space="preserve">TV Show</w:t>
            </w:r>
          </w:p>
        </w:tc>
        <w:tc>
          <w:tcPr>
            <w:tcW w:type="dxa" w:w="1600"/>
            <w:tcMar>
              <w:top w:type="dxa" w:w="80"/>
              <w:left w:type="dxa" w:w="100"/>
              <w:bottom w:type="dxa" w:w="80"/>
              <w:right w:type="dxa" w:w="100"/>
            </w:tcMar>
          </w:tcPr>
          <w:p>
            <w:pPr>
              <w:spacing w:after="40"/>
            </w:pPr>
            <w:r>
              <w:rPr>
                <w:color w:val="333333"/>
                <w:sz w:val="18"/>
                <w:szCs w:val="18"/>
              </w:rPr>
              <w:t xml:space="preserve">2017</w:t>
            </w:r>
          </w:p>
        </w:tc>
        <w:tc>
          <w:tcPr>
            <w:tcW w:type="dxa" w:w="2100"/>
            <w:tcMar>
              <w:top w:type="dxa" w:w="80"/>
              <w:left w:type="dxa" w:w="100"/>
              <w:bottom w:type="dxa" w:w="80"/>
              <w:right w:type="dxa" w:w="100"/>
            </w:tcMar>
          </w:tcPr>
          <w:p>
            <w:pPr>
              <w:spacing w:after="40"/>
            </w:pPr>
            <w:r>
              <w:rPr>
                <w:color w:val="333333"/>
                <w:sz w:val="18"/>
                <w:szCs w:val="18"/>
              </w:rPr>
              <w:t xml:space="preserve">2016-12-13</w:t>
            </w:r>
          </w:p>
        </w:tc>
        <w:tc>
          <w:tcPr>
            <w:tcW w:type="dxa" w:w="1860"/>
            <w:tcMar>
              <w:top w:type="dxa" w:w="80"/>
              <w:left w:type="dxa" w:w="100"/>
              <w:bottom w:type="dxa" w:w="80"/>
              <w:right w:type="dxa" w:w="100"/>
            </w:tcMar>
          </w:tcPr>
          <w:p>
            <w:pPr>
              <w:spacing w:after="40"/>
            </w:pPr>
            <w:r>
              <w:rPr>
                <w:color w:val="333333"/>
                <w:sz w:val="18"/>
                <w:szCs w:val="18"/>
              </w:rPr>
              <w:t xml:space="preserve">-1</w:t>
            </w:r>
          </w:p>
        </w:tc>
      </w:tr>
      <w:tr>
        <w:tc>
          <w:tcPr>
            <w:tcW w:type="dxa" w:w="2400"/>
            <w:shd w:fill="F2F2F2" w:val="clear"/>
            <w:tcMar>
              <w:top w:type="dxa" w:w="80"/>
              <w:left w:type="dxa" w:w="100"/>
              <w:bottom w:type="dxa" w:w="80"/>
              <w:right w:type="dxa" w:w="100"/>
            </w:tcMar>
          </w:tcPr>
          <w:p>
            <w:pPr>
              <w:spacing w:after="40"/>
            </w:pPr>
            <w:r>
              <w:rPr>
                <w:color w:val="333333"/>
                <w:sz w:val="18"/>
                <w:szCs w:val="18"/>
              </w:rPr>
              <w:t xml:space="preserve">Incoming</w:t>
            </w:r>
          </w:p>
        </w:tc>
        <w:tc>
          <w:tcPr>
            <w:tcW w:type="dxa" w:w="1400"/>
            <w:shd w:fill="F2F2F2" w:val="clear"/>
            <w:tcMar>
              <w:top w:type="dxa" w:w="80"/>
              <w:left w:type="dxa" w:w="100"/>
              <w:bottom w:type="dxa" w:w="80"/>
              <w:right w:type="dxa" w:w="100"/>
            </w:tcMar>
          </w:tcPr>
          <w:p>
            <w:pPr>
              <w:spacing w:after="40"/>
            </w:pPr>
            <w:r>
              <w:rPr>
                <w:color w:val="333333"/>
                <w:sz w:val="18"/>
                <w:szCs w:val="18"/>
              </w:rPr>
              <w:t xml:space="preserve">Movie</w:t>
            </w:r>
          </w:p>
        </w:tc>
        <w:tc>
          <w:tcPr>
            <w:tcW w:type="dxa" w:w="1600"/>
            <w:shd w:fill="F2F2F2" w:val="clear"/>
            <w:tcMar>
              <w:top w:type="dxa" w:w="80"/>
              <w:left w:type="dxa" w:w="100"/>
              <w:bottom w:type="dxa" w:w="80"/>
              <w:right w:type="dxa" w:w="100"/>
            </w:tcMar>
          </w:tcPr>
          <w:p>
            <w:pPr>
              <w:spacing w:after="40"/>
            </w:pPr>
            <w:r>
              <w:rPr>
                <w:color w:val="333333"/>
                <w:sz w:val="18"/>
                <w:szCs w:val="18"/>
              </w:rPr>
              <w:t xml:space="preserve">2019</w:t>
            </w:r>
          </w:p>
        </w:tc>
        <w:tc>
          <w:tcPr>
            <w:tcW w:type="dxa" w:w="2100"/>
            <w:shd w:fill="F2F2F2" w:val="clear"/>
            <w:tcMar>
              <w:top w:type="dxa" w:w="80"/>
              <w:left w:type="dxa" w:w="100"/>
              <w:bottom w:type="dxa" w:w="80"/>
              <w:right w:type="dxa" w:w="100"/>
            </w:tcMar>
          </w:tcPr>
          <w:p>
            <w:pPr>
              <w:spacing w:after="40"/>
            </w:pPr>
            <w:r>
              <w:rPr>
                <w:color w:val="333333"/>
                <w:sz w:val="18"/>
                <w:szCs w:val="18"/>
              </w:rPr>
              <w:t xml:space="preserve">2018-10-26</w:t>
            </w:r>
          </w:p>
        </w:tc>
        <w:tc>
          <w:tcPr>
            <w:tcW w:type="dxa" w:w="1860"/>
            <w:shd w:fill="F2F2F2" w:val="clear"/>
            <w:tcMar>
              <w:top w:type="dxa" w:w="80"/>
              <w:left w:type="dxa" w:w="100"/>
              <w:bottom w:type="dxa" w:w="80"/>
              <w:right w:type="dxa" w:w="100"/>
            </w:tcMar>
          </w:tcPr>
          <w:p>
            <w:pPr>
              <w:spacing w:after="40"/>
            </w:pPr>
            <w:r>
              <w:rPr>
                <w:color w:val="333333"/>
                <w:sz w:val="18"/>
                <w:szCs w:val="18"/>
              </w:rPr>
              <w:t xml:space="preserve">-1</w:t>
            </w:r>
          </w:p>
        </w:tc>
      </w:tr>
    </w:tbl>
    <w:p>
      <w:pPr>
        <w:pStyle w:val="Heading2"/>
        <w:spacing w:after="120" w:before="260"/>
      </w:pPr>
      <w:r>
        <w:rPr>
          <w:b/>
          <w:bCs/>
          <w:color w:val="E50914"/>
          <w:sz w:val="24"/>
          <w:szCs w:val="24"/>
        </w:rPr>
        <w:t xml:space="preserve">Explicación</w:t>
      </w:r>
    </w:p>
    <w:p>
      <w:pPr>
        <w:spacing w:after="160" w:line="300"/>
      </w:pPr>
      <w:r>
        <w:rPr>
          <w:color w:val="333333"/>
          <w:sz w:val="21"/>
          <w:szCs w:val="21"/>
        </w:rPr>
        <w:t xml:space="preserve">De los 14 casos, 12 corresponden a series (TV Show) y solo 2 a películas (Movie). Este patrón revela la causa real: en este dataset, la columna release_year para las series no siempre representa el año de estreno de la primera temporada, sino el año de la temporada más reciente disponible en Netflix. En cambio, date_added suele registrar cuándo el título entró por primera vez al catálogo, con su primera temporada.</w:t>
      </w:r>
    </w:p>
    <w:p>
      <w:pPr>
        <w:spacing w:after="160" w:line="300"/>
      </w:pPr>
      <w:r>
        <w:rPr>
          <w:color w:val="333333"/>
          <w:sz w:val="21"/>
          <w:szCs w:val="21"/>
        </w:rPr>
        <w:t xml:space="preserve">Por ejemplo, BoJack Horseman se agregó a Netflix en 2019, pero su release_year figura como 2020 porque esa columna toma el año de la última temporada agregada, no el de su llegada real a la plataforma. Esto genera una 'antigüedad' aparente negativa, aunque no se trata de un error de captura sino de una particularidad del diseño de la columna release_year para contenido serializado.</w:t>
      </w:r>
    </w:p>
    <w:p>
      <w:pPr>
        <w:spacing w:after="160" w:line="300"/>
      </w:pPr>
      <w:r>
        <w:rPr>
          <w:color w:val="333333"/>
          <w:sz w:val="21"/>
          <w:szCs w:val="21"/>
        </w:rPr>
        <w:t xml:space="preserve">Los 2 casos restantes (las películas 'Hans Teeuwen: Real Rancour' e 'Incoming') sí podrían corresponder a errores reales de captura de datos, ya que las películas no tienen temporadas que expliquen la discrepancia.</w:t>
      </w:r>
    </w:p>
    <w:p>
      <w:pPr>
        <w:pStyle w:val="Heading2"/>
        <w:spacing w:after="120" w:before="260"/>
      </w:pPr>
      <w:r>
        <w:rPr>
          <w:b/>
          <w:bCs/>
          <w:color w:val="E50914"/>
          <w:sz w:val="24"/>
          <w:szCs w:val="24"/>
        </w:rPr>
        <w:t xml:space="preserve">Conclusión para la presentación</w:t>
      </w:r>
    </w:p>
    <w:p>
      <w:pPr>
        <w:spacing w:after="160" w:line="300"/>
      </w:pPr>
      <w:r>
        <w:rPr>
          <w:color w:val="333333"/>
          <w:sz w:val="21"/>
          <w:szCs w:val="21"/>
        </w:rPr>
        <w:t xml:space="preserve">Este hallazgo se documenta como una particularidad conocida del dataset (afecta solo al 0,16% de los registros) y no como un fallo del proceso de limpieza. Distinguir entre 'anomalía explicable por el diseño de los datos' y 'error real de captura' es parte del análisis crítico esperado en la fase de Evaluación de CRISP-DM.</w:t>
      </w:r>
    </w:p>
    <w:p>
      <w:r>
        <w:br w:type="page"/>
      </w:r>
    </w:p>
    <w:p>
      <w:pPr>
        <w:pStyle w:val="Heading1"/>
        <w:pBdr>
          <w:bottom w:val="single" w:color="E50914" w:sz="12" w:space="4"/>
        </w:pBdr>
        <w:spacing w:after="150" w:before="300"/>
      </w:pPr>
      <w:r>
        <w:rPr>
          <w:b/>
          <w:bCs/>
          <w:color w:val="333333"/>
          <w:sz w:val="30"/>
          <w:szCs w:val="30"/>
        </w:rPr>
        <w:t xml:space="preserve">7. Conclusiones: respuesta a las preguntas del proyecto</w:t>
      </w:r>
    </w:p>
    <w:p>
      <w:pPr>
        <w:spacing w:after="160" w:line="300"/>
      </w:pPr>
      <w:r>
        <w:rPr>
          <w:color w:val="333333"/>
          <w:sz w:val="21"/>
          <w:szCs w:val="21"/>
        </w:rPr>
        <w:t xml:space="preserve">Esta sección responde de forma directa cada una de las preguntas planteadas en el README del proyecto, con base en los resultados obtenidos.</w:t>
      </w:r>
    </w:p>
    <w:p>
      <w:pPr>
        <w:pStyle w:val="Heading2"/>
        <w:spacing w:after="120" w:before="260"/>
      </w:pPr>
      <w:r>
        <w:rPr>
          <w:b/>
          <w:bCs/>
          <w:color w:val="E50914"/>
          <w:sz w:val="24"/>
          <w:szCs w:val="24"/>
        </w:rPr>
        <w:t xml:space="preserve">📈 Crecimiento del catálogo (date_added vs. release_year)</w:t>
      </w:r>
    </w:p>
    <w:p>
      <w:pPr>
        <w:spacing w:after="160" w:line="300"/>
      </w:pPr>
      <w:r>
        <w:rPr>
          <w:color w:val="333333"/>
          <w:sz w:val="21"/>
          <w:szCs w:val="21"/>
        </w:rPr>
        <w:t xml:space="preserve">El catálogo creció de forma casi imperceptible entre 2008 y 2015 (menos de 25 títulos agregados por año) y se disparó a partir de 2016, con un pico histórico en 2019 (1.999 títulos agregados). A partir de 2020 la incorporación de contenido nuevo empezó a bajar (1.878 en 2020, 1.498 en 2021), lo que sugiere una desaceleración en la estrategia de expansión del catálogo hacia el final del período analizado.</w:t>
      </w:r>
    </w:p>
    <w:p>
      <w:pPr>
        <w:pStyle w:val="Heading2"/>
        <w:spacing w:after="120" w:before="260"/>
      </w:pPr>
      <w:r>
        <w:rPr>
          <w:b/>
          <w:bCs/>
          <w:color w:val="E50914"/>
          <w:sz w:val="24"/>
          <w:szCs w:val="24"/>
        </w:rPr>
        <w:t xml:space="preserve">🌎 Producción por país</w:t>
      </w:r>
    </w:p>
    <w:p>
      <w:pPr>
        <w:spacing w:after="160" w:line="300"/>
      </w:pPr>
      <w:r>
        <w:rPr>
          <w:color w:val="333333"/>
          <w:sz w:val="21"/>
          <w:szCs w:val="21"/>
        </w:rPr>
        <w:t xml:space="preserve">Estados Unidos concentra la mayor producción (3.689 menciones), seguido de India (1.046) y Reino Unido (804). El valor 'Desconocido' ocupa el tercer lugar (831), lo que indica que casi el 10% de los títulos no declara país de forma explícita en el dataset original — un punto a tener en cuenta al interpretar el ranking.</w:t>
      </w:r>
    </w:p>
    <w:p>
      <w:pPr>
        <w:pStyle w:val="Heading2"/>
        <w:spacing w:after="120" w:before="260"/>
      </w:pPr>
      <w:r>
        <w:rPr>
          <w:b/>
          <w:bCs/>
          <w:color w:val="E50914"/>
          <w:sz w:val="24"/>
          <w:szCs w:val="24"/>
        </w:rPr>
        <w:t xml:space="preserve">🎬 Evolución de géneros por período</w:t>
      </w:r>
    </w:p>
    <w:p>
      <w:pPr>
        <w:spacing w:after="160" w:line="300"/>
      </w:pPr>
      <w:r>
        <w:rPr>
          <w:color w:val="333333"/>
          <w:sz w:val="21"/>
          <w:szCs w:val="21"/>
        </w:rPr>
        <w:t xml:space="preserve">Esta pregunta no estaba resuelta por el pipeline original (analizadorDatos solo calculaba el top de géneros general, sin segmentar por año). Se calculó de forma adicional agrupando los títulos por período según su fecha de incorporación (date_added):</w:t>
      </w:r>
    </w:p>
    <w:tbl>
      <w:tblPr>
        <w:tblW w:type="dxa" w:w="7500"/>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900"/>
        <w:gridCol w:w="2800"/>
      </w:tblGrid>
      <w:tr>
        <w:trPr>
          <w:tblHeader/>
        </w:trPr>
        <w:tc>
          <w:tcPr>
            <w:tcW w:type="dxa" w:w="1800"/>
            <w:shd w:fill="E50914" w:val="clear"/>
            <w:tcMar>
              <w:top w:type="dxa" w:w="80"/>
              <w:left w:type="dxa" w:w="100"/>
              <w:bottom w:type="dxa" w:w="80"/>
              <w:right w:type="dxa" w:w="100"/>
            </w:tcMar>
            <w:vAlign w:val="center"/>
          </w:tcPr>
          <w:p>
            <w:pPr>
              <w:jc w:val="left"/>
            </w:pPr>
            <w:r>
              <w:rPr>
                <w:b/>
                <w:bCs/>
                <w:color w:val="FFFFFF"/>
                <w:sz w:val="18"/>
                <w:szCs w:val="18"/>
              </w:rPr>
              <w:t xml:space="preserve">Período</w:t>
            </w:r>
          </w:p>
        </w:tc>
        <w:tc>
          <w:tcPr>
            <w:tcW w:type="dxa" w:w="2900"/>
            <w:shd w:fill="E50914" w:val="clear"/>
            <w:tcMar>
              <w:top w:type="dxa" w:w="80"/>
              <w:left w:type="dxa" w:w="100"/>
              <w:bottom w:type="dxa" w:w="80"/>
              <w:right w:type="dxa" w:w="100"/>
            </w:tcMar>
            <w:vAlign w:val="center"/>
          </w:tcPr>
          <w:p>
            <w:pPr>
              <w:jc w:val="left"/>
            </w:pPr>
            <w:r>
              <w:rPr>
                <w:b/>
                <w:bCs/>
                <w:color w:val="FFFFFF"/>
                <w:sz w:val="18"/>
                <w:szCs w:val="18"/>
              </w:rPr>
              <w:t xml:space="preserve">Top 3 géneros del período</w:t>
            </w:r>
          </w:p>
        </w:tc>
        <w:tc>
          <w:tcPr>
            <w:tcW w:type="dxa" w:w="2800"/>
            <w:shd w:fill="E50914" w:val="clear"/>
            <w:tcMar>
              <w:top w:type="dxa" w:w="80"/>
              <w:left w:type="dxa" w:w="100"/>
              <w:bottom w:type="dxa" w:w="80"/>
              <w:right w:type="dxa" w:w="100"/>
            </w:tcMar>
            <w:vAlign w:val="center"/>
          </w:tcPr>
          <w:p>
            <w:pPr>
              <w:jc w:val="left"/>
            </w:pPr>
            <w:r>
              <w:rPr>
                <w:b/>
                <w:bCs/>
                <w:color w:val="FFFFFF"/>
                <w:sz w:val="18"/>
                <w:szCs w:val="18"/>
              </w:rPr>
              <w:t xml:space="preserve">Cantidad de menciones (top 1)</w:t>
            </w:r>
          </w:p>
        </w:tc>
      </w:tr>
      <w:tr>
        <w:tc>
          <w:tcPr>
            <w:tcW w:type="dxa" w:w="1800"/>
            <w:tcMar>
              <w:top w:type="dxa" w:w="80"/>
              <w:left w:type="dxa" w:w="100"/>
              <w:bottom w:type="dxa" w:w="80"/>
              <w:right w:type="dxa" w:w="100"/>
            </w:tcMar>
          </w:tcPr>
          <w:p>
            <w:pPr>
              <w:spacing w:after="40"/>
            </w:pPr>
            <w:r>
              <w:rPr>
                <w:color w:val="333333"/>
                <w:sz w:val="18"/>
                <w:szCs w:val="18"/>
              </w:rPr>
              <w:t xml:space="preserve">2008 - 2015</w:t>
            </w:r>
          </w:p>
        </w:tc>
        <w:tc>
          <w:tcPr>
            <w:tcW w:type="dxa" w:w="2900"/>
            <w:tcMar>
              <w:top w:type="dxa" w:w="80"/>
              <w:left w:type="dxa" w:w="100"/>
              <w:bottom w:type="dxa" w:w="80"/>
              <w:right w:type="dxa" w:w="100"/>
            </w:tcMar>
          </w:tcPr>
          <w:p>
            <w:pPr>
              <w:spacing w:after="40"/>
            </w:pPr>
            <w:r>
              <w:rPr>
                <w:color w:val="333333"/>
                <w:sz w:val="18"/>
                <w:szCs w:val="18"/>
              </w:rPr>
              <w:t xml:space="preserve">Dramas, Documentaries, Stand-Up Comedy</w:t>
            </w:r>
          </w:p>
        </w:tc>
        <w:tc>
          <w:tcPr>
            <w:tcW w:type="dxa" w:w="2800"/>
            <w:tcMar>
              <w:top w:type="dxa" w:w="80"/>
              <w:left w:type="dxa" w:w="100"/>
              <w:bottom w:type="dxa" w:w="80"/>
              <w:right w:type="dxa" w:w="100"/>
            </w:tcMar>
          </w:tcPr>
          <w:p>
            <w:pPr>
              <w:spacing w:after="40"/>
            </w:pPr>
            <w:r>
              <w:rPr>
                <w:color w:val="333333"/>
                <w:sz w:val="18"/>
                <w:szCs w:val="18"/>
              </w:rPr>
              <w:t xml:space="preserve">27 (Dramas)</w:t>
            </w:r>
          </w:p>
        </w:tc>
      </w:tr>
      <w:tr>
        <w:tc>
          <w:tcPr>
            <w:tcW w:type="dxa" w:w="1800"/>
            <w:shd w:fill="F2F2F2" w:val="clear"/>
            <w:tcMar>
              <w:top w:type="dxa" w:w="80"/>
              <w:left w:type="dxa" w:w="100"/>
              <w:bottom w:type="dxa" w:w="80"/>
              <w:right w:type="dxa" w:w="100"/>
            </w:tcMar>
          </w:tcPr>
          <w:p>
            <w:pPr>
              <w:spacing w:after="40"/>
            </w:pPr>
            <w:r>
              <w:rPr>
                <w:color w:val="333333"/>
                <w:sz w:val="18"/>
                <w:szCs w:val="18"/>
              </w:rPr>
              <w:t xml:space="preserve">2016 - 2018</w:t>
            </w:r>
          </w:p>
        </w:tc>
        <w:tc>
          <w:tcPr>
            <w:tcW w:type="dxa" w:w="2900"/>
            <w:shd w:fill="F2F2F2" w:val="clear"/>
            <w:tcMar>
              <w:top w:type="dxa" w:w="80"/>
              <w:left w:type="dxa" w:w="100"/>
              <w:bottom w:type="dxa" w:w="80"/>
              <w:right w:type="dxa" w:w="100"/>
            </w:tcMar>
          </w:tcPr>
          <w:p>
            <w:pPr>
              <w:spacing w:after="40"/>
            </w:pPr>
            <w:r>
              <w:rPr>
                <w:color w:val="333333"/>
                <w:sz w:val="18"/>
                <w:szCs w:val="18"/>
              </w:rPr>
              <w:t xml:space="preserve">International Movies, Dramas, Comedies</w:t>
            </w:r>
          </w:p>
        </w:tc>
        <w:tc>
          <w:tcPr>
            <w:tcW w:type="dxa" w:w="2800"/>
            <w:shd w:fill="F2F2F2" w:val="clear"/>
            <w:tcMar>
              <w:top w:type="dxa" w:w="80"/>
              <w:left w:type="dxa" w:w="100"/>
              <w:bottom w:type="dxa" w:w="80"/>
              <w:right w:type="dxa" w:w="100"/>
            </w:tcMar>
          </w:tcPr>
          <w:p>
            <w:pPr>
              <w:spacing w:after="40"/>
            </w:pPr>
            <w:r>
              <w:rPr>
                <w:color w:val="333333"/>
                <w:sz w:val="18"/>
                <w:szCs w:val="18"/>
              </w:rPr>
              <w:t xml:space="preserve">1.145 (International Movies)</w:t>
            </w:r>
          </w:p>
        </w:tc>
      </w:tr>
      <w:tr>
        <w:tc>
          <w:tcPr>
            <w:tcW w:type="dxa" w:w="1800"/>
            <w:tcMar>
              <w:top w:type="dxa" w:w="80"/>
              <w:left w:type="dxa" w:w="100"/>
              <w:bottom w:type="dxa" w:w="80"/>
              <w:right w:type="dxa" w:w="100"/>
            </w:tcMar>
          </w:tcPr>
          <w:p>
            <w:pPr>
              <w:spacing w:after="40"/>
            </w:pPr>
            <w:r>
              <w:rPr>
                <w:color w:val="333333"/>
                <w:sz w:val="18"/>
                <w:szCs w:val="18"/>
              </w:rPr>
              <w:t xml:space="preserve">2019 - 2021</w:t>
            </w:r>
          </w:p>
        </w:tc>
        <w:tc>
          <w:tcPr>
            <w:tcW w:type="dxa" w:w="2900"/>
            <w:tcMar>
              <w:top w:type="dxa" w:w="80"/>
              <w:left w:type="dxa" w:w="100"/>
              <w:bottom w:type="dxa" w:w="80"/>
              <w:right w:type="dxa" w:w="100"/>
            </w:tcMar>
          </w:tcPr>
          <w:p>
            <w:pPr>
              <w:spacing w:after="40"/>
            </w:pPr>
            <w:r>
              <w:rPr>
                <w:color w:val="333333"/>
                <w:sz w:val="18"/>
                <w:szCs w:val="18"/>
              </w:rPr>
              <w:t xml:space="preserve">International Movies, Dramas, Comedies</w:t>
            </w:r>
          </w:p>
        </w:tc>
        <w:tc>
          <w:tcPr>
            <w:tcW w:type="dxa" w:w="2800"/>
            <w:tcMar>
              <w:top w:type="dxa" w:w="80"/>
              <w:left w:type="dxa" w:w="100"/>
              <w:bottom w:type="dxa" w:w="80"/>
              <w:right w:type="dxa" w:w="100"/>
            </w:tcMar>
          </w:tcPr>
          <w:p>
            <w:pPr>
              <w:spacing w:after="40"/>
            </w:pPr>
            <w:r>
              <w:rPr>
                <w:color w:val="333333"/>
                <w:sz w:val="18"/>
                <w:szCs w:val="18"/>
              </w:rPr>
              <w:t xml:space="preserve">1.593 (International Movies)</w:t>
            </w:r>
          </w:p>
        </w:tc>
      </w:tr>
    </w:tbl>
    <w:p>
      <w:pPr>
        <w:spacing w:after="160" w:line="300"/>
      </w:pPr>
      <w:r>
        <w:rPr>
          <w:color w:val="333333"/>
          <w:sz w:val="21"/>
          <w:szCs w:val="21"/>
        </w:rPr>
        <w:t xml:space="preserve">Se observa una tendencia clara: 'Dramas' domina en los primeros años del catálogo (2008-2015), mientras que a partir de 2016 'International Movies' toma el liderazgo y lo mantiene hasta 2021. Esto coincide con la expansión internacional de Netflix a partir de 2016, cuando la plataforma llegó a la mayoría de países del mundo.</w:t>
      </w:r>
    </w:p>
    <w:p>
      <w:pPr>
        <w:spacing w:after="160" w:line="300"/>
      </w:pPr>
      <w:r>
        <w:rPr>
          <w:color w:val="333333"/>
          <w:sz w:val="21"/>
          <w:szCs w:val="21"/>
        </w:rPr>
        <w:t xml:space="preserve">Nota: para que este análisis quede formalmente dentro del pipeline del proyecto (y no solo en este documento), se recomienda agregar un método analizarGenerosPorPeriodo() a la clase AnalizadorDatos, replicando esta misma lógica de agrupación.</w:t>
      </w:r>
    </w:p>
    <w:p>
      <w:pPr>
        <w:pStyle w:val="Heading2"/>
        <w:spacing w:after="120" w:before="260"/>
      </w:pPr>
      <w:r>
        <w:rPr>
          <w:b/>
          <w:bCs/>
          <w:color w:val="E50914"/>
          <w:sz w:val="24"/>
          <w:szCs w:val="24"/>
        </w:rPr>
        <w:t xml:space="preserve">🎞️ Distribución por tipo y duración</w:t>
      </w:r>
    </w:p>
    <w:p>
      <w:pPr>
        <w:spacing w:after="160" w:line="300"/>
      </w:pPr>
      <w:r>
        <w:rPr>
          <w:color w:val="333333"/>
          <w:sz w:val="21"/>
          <w:szCs w:val="21"/>
        </w:rPr>
        <w:t xml:space="preserve">El catálogo está compuesto en un 69,6% por películas (6.131) y un 30,4% por series (2.676). Las películas duran en promedio 99,6 minutos (rango 3-312), mientras que las series tienen en promedio 1,76 temporadas (rango 1-17). En cuanto a clasificación, predomina el contenido para audiencia madura: TV-MA (3.207) y TV-14 (2.160) representan juntas más del 60% del catálogo.</w:t>
      </w:r>
    </w:p>
    <w:p>
      <w:pPr>
        <w:pStyle w:val="Heading2"/>
        <w:spacing w:after="120" w:before="260"/>
      </w:pPr>
      <w:r>
        <w:rPr>
          <w:b/>
          <w:bCs/>
          <w:color w:val="E50914"/>
          <w:sz w:val="24"/>
          <w:szCs w:val="24"/>
        </w:rPr>
        <w:t xml:space="preserve">⭐ Valoraciones de usuarios</w:t>
      </w:r>
    </w:p>
    <w:p>
      <w:pPr>
        <w:spacing w:after="160" w:line="300"/>
      </w:pPr>
      <w:r>
        <w:rPr>
          <w:color w:val="333333"/>
          <w:sz w:val="21"/>
          <w:szCs w:val="21"/>
        </w:rPr>
        <w:t xml:space="preserve">Sobre las 256 valoraciones válidas del dataset de usuarios (netflix.csv), el promedio de puntuación es 81,4 sobre 100 (mínimo 55, máximo 99). La percepción general de calidad es alta, aunque esta conclusión se basa en una muestra reducida (256 de los 500 registros finales, tras eliminar duplicados), por lo que debe tomarse como una tendencia y no como una medición definitiva.</w:t>
      </w:r>
    </w:p>
    <w:p>
      <w:pPr>
        <w:pStyle w:val="Heading2"/>
        <w:spacing w:after="120" w:before="260"/>
      </w:pPr>
      <w:r>
        <w:rPr>
          <w:b/>
          <w:bCs/>
          <w:color w:val="E50914"/>
          <w:sz w:val="24"/>
          <w:szCs w:val="24"/>
        </w:rPr>
        <w:t xml:space="preserve">⏳ Antigüedad al agregar</w:t>
      </w:r>
    </w:p>
    <w:p>
      <w:pPr>
        <w:spacing w:after="160" w:line="300"/>
      </w:pPr>
      <w:r>
        <w:rPr>
          <w:color w:val="333333"/>
          <w:sz w:val="21"/>
          <w:szCs w:val="21"/>
        </w:rPr>
        <w:t xml:space="preserve">En promedio, un título llega a Netflix 4,7 años después de su año de lanzamiento (mediana: 1 año, es decir, la mitad del catálogo se agrega dentro del año siguiente a su lanzamiento). El caso más extremo es de 93 años de antigüedad. Los 14 casos con antigüedad negativa se explican y documentan en la sección 6 de este documento como una particularidad del dataset y no como un error del proceso.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Proyecto Minería de Datos — Netflix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2026-09-13T19:04:56.470Z</dcterms:created>
  <dcterms:modified xsi:type="dcterms:W3CDTF">2026-09-13T19:04:56.479Z</dcterms:modified>
</cp:coreProperties>
</file>

<file path=docProps/custom.xml><?xml version="1.0" encoding="utf-8"?>
<Properties xmlns="http://schemas.openxmlformats.org/officeDocument/2006/custom-properties" xmlns:vt="http://schemas.openxmlformats.org/officeDocument/2006/docPropsVTypes"/>
</file>