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Civil Engineering Technology graduate targeting construction engineering and technical design roles involving structural models, construction-phase coordination, and model-based deliverables. Prepared through RAM Structural System and Revit capstone work, structural steel design projects, reinforced concrete (RC) coursework, constructability review, and bridge replacement planning. Brings strong coordination discipline from supervising teams and managing high-volume operations.</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Structural Design</w:t>
            </w:r>
          </w:p>
        </w:tc>
        <w:tc>
          <w:tcPr>
            <w:tcW w:type="dxa" w:w="3600"/>
          </w:tcPr>
          <w:p>
            <w:pPr>
              <w:spacing w:before="0" w:after="0"/>
            </w:pPr>
            <w:r>
              <w:rPr>
                <w:rFonts w:ascii="Calibri" w:hAnsi="Calibri"/>
                <w:sz w:val="20"/>
              </w:rPr>
              <w:t>Reinforced Concrete Design</w:t>
            </w:r>
          </w:p>
        </w:tc>
        <w:tc>
          <w:tcPr>
            <w:tcW w:type="dxa" w:w="3600"/>
          </w:tcPr>
          <w:p>
            <w:pPr>
              <w:spacing w:before="0" w:after="0"/>
            </w:pPr>
            <w:r>
              <w:rPr>
                <w:rFonts w:ascii="Calibri" w:hAnsi="Calibri"/>
                <w:sz w:val="20"/>
              </w:rPr>
              <w:t>Civil Engineering Materials</w:t>
            </w:r>
          </w:p>
        </w:tc>
      </w:tr>
      <w:tr>
        <w:tc>
          <w:tcPr>
            <w:tcW w:type="dxa" w:w="3600"/>
          </w:tcPr>
          <w:p>
            <w:pPr>
              <w:spacing w:before="0" w:after="0"/>
            </w:pPr>
            <w:r>
              <w:rPr>
                <w:rFonts w:ascii="Calibri" w:hAnsi="Calibri"/>
                <w:sz w:val="20"/>
              </w:rPr>
              <w:t>Elements Strength of Materials</w:t>
            </w:r>
          </w:p>
        </w:tc>
        <w:tc>
          <w:tcPr>
            <w:tcW w:type="dxa" w:w="3600"/>
          </w:tcPr>
          <w:p>
            <w:pPr>
              <w:spacing w:before="0" w:after="0"/>
            </w:pPr>
            <w:r>
              <w:rPr>
                <w:rFonts w:ascii="Calibri" w:hAnsi="Calibri"/>
                <w:sz w:val="20"/>
              </w:rPr>
              <w:t>Field Practices in Civil Engineering</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Baldwin High School Instructional Addition / Three-Story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 Farmingdale State College</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pStyle w:val="ResumeBullet"/>
        <w:spacing w:before="0" w:after="0" w:line="240" w:lineRule="auto"/>
        <w:ind w:left="720" w:hanging="360"/>
      </w:pPr>
      <w:r>
        <w:rPr>
          <w:rFonts w:ascii="Calibri" w:hAnsi="Calibri"/>
          <w:sz w:val="20"/>
        </w:rPr>
        <w:t>Coordinated multidisciplinary capstone deliverables, including task delegation, milestone tracking, preliminary design documentation,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Bridge Replacement Construction Management Planning</w:t>
      </w:r>
      <w:r>
        <w:rPr>
          <w:rFonts w:ascii="Calibri" w:hAnsi="Calibri"/>
          <w:i/>
          <w:sz w:val="20"/>
        </w:rPr>
        <w:tab/>
        <w:t>2026</w:t>
      </w:r>
    </w:p>
    <w:p>
      <w:pPr>
        <w:spacing w:before="0" w:after="0" w:line="256" w:lineRule="auto"/>
      </w:pPr>
      <w:r>
        <w:rPr>
          <w:rFonts w:ascii="Calibri" w:hAnsi="Calibri"/>
          <w:sz w:val="20"/>
        </w:rPr>
        <w:t>Construction Planning Project | Farmingdale State College</w:t>
      </w:r>
    </w:p>
    <w:p>
      <w:pPr>
        <w:pStyle w:val="ResumeBullet"/>
        <w:spacing w:before="0" w:after="0" w:line="240" w:lineRule="auto"/>
        <w:ind w:left="720" w:hanging="360"/>
      </w:pPr>
      <w:r>
        <w:rPr>
          <w:rFonts w:ascii="Calibri" w:hAnsi="Calibri"/>
          <w:sz w:val="20"/>
        </w:rPr>
        <w:t>Prepared construction management planning content for a bridge replacement project, including schedule logic, traffic control, safety, equipment needs, permitting awareness, and cost discussion.</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in event operations, coordinating staffing, training, logistics, guest flow, and real-time problem solving.</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 for operations management.</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RAM Structural System; Revit / BIM project exposure; Microsoft Excel; Structural steel framing evaluation</w:t>
      </w:r>
    </w:p>
    <w:p>
      <w:pPr>
        <w:tabs>
          <w:tab w:pos="10800" w:val="right"/>
        </w:tabs>
        <w:spacing w:before="0" w:after="0" w:line="240" w:lineRule="auto"/>
      </w:pPr>
      <w:r>
        <w:rPr>
          <w:rFonts w:ascii="Calibri" w:hAnsi="Calibri"/>
          <w:b/>
          <w:sz w:val="20"/>
        </w:rPr>
        <w:t>Engineering:</w:t>
      </w:r>
      <w:r>
        <w:rPr>
          <w:rFonts w:ascii="Calibri" w:hAnsi="Calibri"/>
          <w:sz w:val="20"/>
        </w:rPr>
        <w:t xml:space="preserve"> Reinforced concrete (RC) design coursework; Foundation coordination; Construction sequencing and planning; Gravity and lateral load development; LRFD design methodology; Serviceability and deflection checks; Constructability analysis; Technical writing and report integration</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