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Civil Engineering Technology graduate targeting land development and site civil engineering, with academic preparation in hydrology, stormwater runoff, surveying, transportation, soils, and construction planning. Capstone and project work includes campus infrastructure analysis, constructability review, stormwater cistern design, and coordinated multidisciplinary deliverables; brings additional operations leadership and scheduling experience. Recent Civil Engineering Technology graduate preparing for the FE Civil examination.</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Surveying</w:t>
            </w:r>
          </w:p>
        </w:tc>
        <w:tc>
          <w:tcPr>
            <w:tcW w:type="dxa" w:w="3600"/>
          </w:tcPr>
          <w:p>
            <w:pPr>
              <w:spacing w:before="0" w:after="0"/>
            </w:pPr>
            <w:r>
              <w:rPr>
                <w:rFonts w:ascii="Calibri" w:hAnsi="Calibri"/>
                <w:sz w:val="20"/>
              </w:rPr>
              <w:t>Hydraulics</w:t>
            </w:r>
          </w:p>
        </w:tc>
        <w:tc>
          <w:tcPr>
            <w:tcW w:type="dxa" w:w="3600"/>
          </w:tcPr>
          <w:p>
            <w:pPr>
              <w:spacing w:before="0" w:after="0"/>
            </w:pPr>
            <w:r>
              <w:rPr>
                <w:rFonts w:ascii="Calibri" w:hAnsi="Calibri"/>
                <w:sz w:val="20"/>
              </w:rPr>
              <w:t>Highway Engineering</w:t>
            </w:r>
          </w:p>
        </w:tc>
      </w:tr>
      <w:tr>
        <w:tc>
          <w:tcPr>
            <w:tcW w:type="dxa" w:w="3600"/>
          </w:tcPr>
          <w:p>
            <w:pPr>
              <w:spacing w:before="0" w:after="0"/>
            </w:pPr>
            <w:r>
              <w:rPr>
                <w:rFonts w:ascii="Calibri" w:hAnsi="Calibri"/>
                <w:sz w:val="20"/>
              </w:rPr>
              <w:t>Transportation Engineering</w:t>
            </w:r>
          </w:p>
        </w:tc>
        <w:tc>
          <w:tcPr>
            <w:tcW w:type="dxa" w:w="3600"/>
          </w:tcPr>
          <w:p>
            <w:pPr>
              <w:spacing w:before="0" w:after="0"/>
            </w:pPr>
            <w:r>
              <w:rPr>
                <w:rFonts w:ascii="Calibri" w:hAnsi="Calibri"/>
                <w:sz w:val="20"/>
              </w:rPr>
              <w:t>Water and Wastewater Systems</w:t>
            </w:r>
          </w:p>
        </w:tc>
        <w:tc>
          <w:tcPr>
            <w:tcW w:type="dxa" w:w="3600"/>
          </w:tcPr>
          <w:p>
            <w:pPr>
              <w:spacing w:before="0" w:after="0"/>
            </w:pPr>
            <w:r>
              <w:rPr>
                <w:rFonts w:ascii="Calibri" w:hAnsi="Calibri"/>
                <w:sz w:val="20"/>
              </w:rPr>
              <w:t>Soils, Foundations, and Earth Structures</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Baldwin High School Instructional Addition / Three-Story Classroom Addition</w:t>
      </w:r>
      <w:r>
        <w:rPr>
          <w:rFonts w:ascii="Calibri" w:hAnsi="Calibri"/>
          <w:i/>
          <w:sz w:val="20"/>
        </w:rPr>
        <w:tab/>
        <w:t>Spring 2026</w:t>
      </w:r>
    </w:p>
    <w:p>
      <w:pPr>
        <w:spacing w:before="0" w:after="0" w:line="256" w:lineRule="auto"/>
      </w:pPr>
      <w:r>
        <w:rPr>
          <w:rFonts w:ascii="Calibri" w:hAnsi="Calibri"/>
          <w:sz w:val="20"/>
        </w:rPr>
        <w:t>Structural Engineering Lead / Project Leader | Farmingdale State College</w:t>
      </w:r>
    </w:p>
    <w:p>
      <w:pPr>
        <w:pStyle w:val="ResumeBullet"/>
        <w:spacing w:before="0" w:after="0" w:line="240" w:lineRule="auto"/>
        <w:ind w:left="720" w:hanging="360"/>
      </w:pPr>
      <w:r>
        <w:rPr>
          <w:rFonts w:ascii="Calibri" w:hAnsi="Calibri"/>
          <w:sz w:val="20"/>
        </w:rPr>
        <w:t>Led structural scope and coordinated multidisciplinary capstone deliverables, including task delegation, milestone tracking, report integration, and final presentation support.</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and a CLI workflow.</w:t>
      </w:r>
    </w:p>
    <w:p>
      <w:pPr>
        <w:tabs>
          <w:tab w:pos="10800" w:val="right"/>
        </w:tabs>
        <w:spacing w:before="0" w:after="0" w:line="256" w:lineRule="auto"/>
      </w:pPr>
      <w:r>
        <w:rPr>
          <w:rFonts w:ascii="Calibri" w:hAnsi="Calibri"/>
          <w:b/>
          <w:sz w:val="20"/>
        </w:rPr>
        <w:t>Campus Stormwater Cistern Design</w:t>
      </w:r>
      <w:r>
        <w:rPr>
          <w:rFonts w:ascii="Calibri" w:hAnsi="Calibri"/>
          <w:i/>
          <w:sz w:val="20"/>
        </w:rPr>
        <w:tab/>
        <w:t>2026</w:t>
      </w:r>
    </w:p>
    <w:p>
      <w:pPr>
        <w:spacing w:before="0" w:after="0" w:line="256" w:lineRule="auto"/>
      </w:pPr>
      <w:r>
        <w:rPr>
          <w:rFonts w:ascii="Calibri" w:hAnsi="Calibri"/>
          <w:sz w:val="20"/>
        </w:rPr>
        <w:t>Academic Hydrology / Stormwater Project | Farmingdale State College</w:t>
      </w:r>
    </w:p>
    <w:p>
      <w:pPr>
        <w:pStyle w:val="ResumeBullet"/>
        <w:spacing w:before="0" w:after="0" w:line="240" w:lineRule="auto"/>
        <w:ind w:left="720" w:hanging="360"/>
      </w:pPr>
      <w:r>
        <w:rPr>
          <w:rFonts w:ascii="Calibri" w:hAnsi="Calibri"/>
          <w:sz w:val="20"/>
        </w:rPr>
        <w:t>Calculated roof runoff for an 81,000 sf catchment and evaluated cistern storage, filtration, pumping, overflow, and irrigation reuse for a campus stormwater project.</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in high-volume operations, coordinating staffing, training, logistics, guest flow, and real-time problem solving.</w:t>
      </w:r>
    </w:p>
    <w:p>
      <w:pPr>
        <w:pStyle w:val="ResumeBullet"/>
        <w:spacing w:before="0" w:after="0" w:line="240" w:lineRule="auto"/>
        <w:ind w:left="720" w:hanging="360"/>
      </w:pPr>
      <w:r>
        <w:rPr>
          <w:rFonts w:ascii="Calibri" w:hAnsi="Calibri"/>
          <w:sz w:val="20"/>
        </w:rPr>
        <w:t>Developed Excel-based voucher and inventory tracking systems with automated alerts, accountability tracking, and decision-support metrics.</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Excel-based tracking and analysis; RAM Structural System; Revit; Python; SQLite; Google Sheets; Project coordination and milestone tracking</w:t>
      </w:r>
    </w:p>
    <w:p>
      <w:pPr>
        <w:tabs>
          <w:tab w:pos="10800" w:val="right"/>
        </w:tabs>
        <w:spacing w:before="0" w:after="0" w:line="240" w:lineRule="auto"/>
      </w:pPr>
      <w:r>
        <w:rPr>
          <w:rFonts w:ascii="Calibri" w:hAnsi="Calibri"/>
          <w:b/>
          <w:sz w:val="20"/>
        </w:rPr>
        <w:t>Engineering:</w:t>
      </w:r>
      <w:r>
        <w:rPr>
          <w:rFonts w:ascii="Calibri" w:hAnsi="Calibri"/>
          <w:sz w:val="20"/>
        </w:rPr>
        <w:t xml:space="preserve"> Site civil engineering preparation; Hydrology and stormwater runoff calculations; Stormwater management and cistern design; Soils, foundations, and earth structures; Construction planning and constructability review; Land development fundamentals; Surveying and field practices coursework; Transportation and highway engineering coursework; Permitting awareness</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FE Civil exam scheduled for August 2026</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