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80" w:line="276" w:lineRule="auto"/>
      </w:pPr>
      <w:r>
        <w:rPr>
          <w:rFonts w:ascii="Calibri" w:hAnsi="Calibri"/>
          <w:sz w:val="22"/>
        </w:rPr>
        <w:t>Aurora, Arapahoe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Civil/Structural Engineer position with Leidos in Aurora. Leidos’ work across energy, infrastructure, and automation appeals to me because it connects civil/structural engineering with full life-cycle utility project delivery, including engineering, planning, project management, construction management, and commissioning support. As a recent B.S. Civil Engineering Technology graduate from an ABET-accredited program who is preparing for the FE Civil exam, I am interested in contributing to infrastructure projects where careful structural judgment, constructability awareness, and reliable documentation matter.</w:t>
      </w:r>
    </w:p>
    <w:p>
      <w:pPr>
        <w:spacing w:before="0" w:after="220" w:line="276" w:lineRule="auto"/>
      </w:pPr>
      <w:r>
        <w:rPr>
          <w:rFonts w:ascii="Calibri" w:hAnsi="Calibri"/>
          <w:sz w:val="22"/>
        </w:rPr>
        <w:t>My strongest technical preparation is in structural engineering. For my senior capstone, I served as Structural Engineering Lead / Project Leader for a proposed three-story classroom addition at Baldwin High School, where I built and analyzed RAM Structural System models, developed gravity and lateral loading, evaluated preliminary steel framing, and coordinated foundation assumptions and constructability considerations. I applied ASCE 7-22 loading criteria and AISC steel design methodology while working through framing layouts, tributary areas, line loads, axial loads, and serviceability behavior. Related academic work also included steel beam and column design, reinforced concrete design coursework, foundation design, and construction management planning for a bridge replacement project covering sequencing, safety, traffic control, equipment needs, permitting awareness, cost discussion, and field-practices concepts.</w:t>
      </w:r>
    </w:p>
    <w:p>
      <w:pPr>
        <w:spacing w:before="0" w:after="220" w:line="276" w:lineRule="auto"/>
      </w:pPr>
      <w:r>
        <w:rPr>
          <w:rFonts w:ascii="Calibri" w:hAnsi="Calibri"/>
          <w:sz w:val="22"/>
        </w:rPr>
        <w:t>Beyond academics, I bring practical leadership and workflow discipline that would support an entry-level engineering role on multidisciplinary project teams. As an Event Coordination Department Head, I supervise approximately 45 direct reports and coordinate staffing, training, logistics, scheduling, guest flow, and real-time problem solving in a high-volume operations environment. I have also built Excel-based tracking systems for inventory, alerts, accountability, and decision-support metrics, and developed a Python job-search automation platform with multi-source data ingestion, SQLite persistence, Google Drive/Sheets workflows, CLI operation, and an automated test suite with 100+ passing tests. That experience reflects how I approach technical work: organize the information, build repeatable workflows, test assumptions, communicate clearly, and keep improving the process. I would welcome the opportunity to bring that mindset to Leidos’ civil/structural infrastructure work in Aurora.</w:t>
      </w:r>
    </w:p>
    <w:p>
      <w:pPr>
        <w:spacing w:before="0" w:after="220" w:line="276" w:lineRule="auto"/>
      </w:pPr>
      <w:r>
        <w:rPr>
          <w:rFonts w:ascii="Calibri" w:hAnsi="Calibri"/>
          <w:sz w:val="22"/>
        </w:rPr>
        <w:t>closing</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