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Entry-level structural engineering candidate with a B.S. in Civil Engineering Technology and capstone leadership on a proposed three-story educational facility addition. Experience includes RAM Structural System modeling, gravity and lateral load evaluation, preliminary steel framing decisions, foundation coordination, surveying coursework, and transferable operations leadership in high-volume team environments. Recent Civil Engineering Technology graduate preparing for the FE Civil examination.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Structures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Elements Strength of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Reviewed scope involving demolition, replacement bridge construction, roadway approach reconstruction, drainage, temporary traffic signals, pavement markings, and traffic control devices.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event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Excel; Revit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design; Foundation design; LRFD design methodology; Gravity and lateral load evaluation; Serviceability checks; Constructability analysis; Surveying coursework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