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DF45" w14:textId="4EC46F01" w:rsidR="002834B4" w:rsidRPr="007E4127" w:rsidRDefault="0032155B" w:rsidP="0032155B">
      <w:pPr>
        <w:rPr>
          <w:b/>
          <w:bCs/>
        </w:rPr>
      </w:pPr>
      <w:r w:rsidRPr="007E4127">
        <w:rPr>
          <w:b/>
          <w:bCs/>
        </w:rPr>
        <w:t xml:space="preserve">I, </w:t>
      </w:r>
      <w:proofErr w:type="spellStart"/>
      <w:r w:rsidR="00353C6F" w:rsidRPr="007E4127">
        <w:rPr>
          <w:b/>
          <w:bCs/>
        </w:rPr>
        <w:t>Bảng</w:t>
      </w:r>
      <w:proofErr w:type="spellEnd"/>
      <w:r w:rsidR="00353C6F" w:rsidRPr="007E4127">
        <w:rPr>
          <w:b/>
          <w:bCs/>
        </w:rPr>
        <w:t xml:space="preserve"> </w:t>
      </w:r>
      <w:proofErr w:type="spellStart"/>
      <w:r w:rsidR="00353C6F" w:rsidRPr="007E4127">
        <w:rPr>
          <w:b/>
          <w:bCs/>
        </w:rPr>
        <w:t>các</w:t>
      </w:r>
      <w:proofErr w:type="spellEnd"/>
      <w:r w:rsidR="00353C6F" w:rsidRPr="007E4127">
        <w:rPr>
          <w:b/>
          <w:bCs/>
        </w:rPr>
        <w:t xml:space="preserve"> basic model type</w:t>
      </w:r>
    </w:p>
    <w:tbl>
      <w:tblPr>
        <w:tblStyle w:val="TableGrid"/>
        <w:tblpPr w:leftFromText="180" w:rightFromText="180" w:horzAnchor="margin" w:tblpY="564"/>
        <w:tblW w:w="14981" w:type="dxa"/>
        <w:tblLook w:val="04A0" w:firstRow="1" w:lastRow="0" w:firstColumn="1" w:lastColumn="0" w:noHBand="0" w:noVBand="1"/>
      </w:tblPr>
      <w:tblGrid>
        <w:gridCol w:w="1965"/>
        <w:gridCol w:w="3219"/>
        <w:gridCol w:w="5304"/>
        <w:gridCol w:w="2994"/>
        <w:gridCol w:w="1499"/>
      </w:tblGrid>
      <w:tr w:rsidR="007E4127" w14:paraId="4720A9FF" w14:textId="77777777" w:rsidTr="004709E2">
        <w:tc>
          <w:tcPr>
            <w:tcW w:w="1965" w:type="dxa"/>
          </w:tcPr>
          <w:p w14:paraId="00E72B29" w14:textId="77777777" w:rsidR="00774EB0" w:rsidRDefault="00774EB0" w:rsidP="004709E2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3219" w:type="dxa"/>
          </w:tcPr>
          <w:p w14:paraId="3F6F61F1" w14:textId="77777777" w:rsidR="00774EB0" w:rsidRDefault="00774EB0" w:rsidP="004709E2">
            <w:pPr>
              <w:jc w:val="center"/>
            </w:pPr>
            <w:proofErr w:type="spellStart"/>
            <w:r>
              <w:t>Cách</w:t>
            </w:r>
            <w:proofErr w:type="spellEnd"/>
            <w:r>
              <w:t xml:space="preserve"> chia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5304" w:type="dxa"/>
          </w:tcPr>
          <w:p w14:paraId="2F0D2E2C" w14:textId="77777777" w:rsidR="00774EB0" w:rsidRDefault="00774EB0" w:rsidP="004709E2">
            <w:pPr>
              <w:jc w:val="center"/>
            </w:pPr>
            <w:proofErr w:type="spellStart"/>
            <w:r>
              <w:rPr>
                <w:color w:val="333333"/>
              </w:rPr>
              <w:t>Phương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trình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phỏng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các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nhóm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dân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số</w:t>
            </w:r>
            <w:proofErr w:type="spellEnd"/>
          </w:p>
        </w:tc>
        <w:tc>
          <w:tcPr>
            <w:tcW w:w="2994" w:type="dxa"/>
          </w:tcPr>
          <w:p w14:paraId="27B12833" w14:textId="7FB3711F" w:rsidR="00774EB0" w:rsidRDefault="00774EB0" w:rsidP="004709E2">
            <w:pPr>
              <w:jc w:val="center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 w:rsidR="00C4552A">
              <w:t xml:space="preserve"> </w:t>
            </w:r>
          </w:p>
        </w:tc>
        <w:tc>
          <w:tcPr>
            <w:tcW w:w="1499" w:type="dxa"/>
          </w:tcPr>
          <w:p w14:paraId="525FFAAD" w14:textId="77777777" w:rsidR="00774EB0" w:rsidRDefault="00774EB0" w:rsidP="004709E2">
            <w:pPr>
              <w:jc w:val="center"/>
            </w:pPr>
            <w:r>
              <w:t>Input parameters</w:t>
            </w:r>
          </w:p>
        </w:tc>
      </w:tr>
      <w:tr w:rsidR="00774EB0" w14:paraId="22618BFD" w14:textId="77777777" w:rsidTr="004709E2">
        <w:trPr>
          <w:trHeight w:val="873"/>
        </w:trPr>
        <w:tc>
          <w:tcPr>
            <w:tcW w:w="1965" w:type="dxa"/>
          </w:tcPr>
          <w:p w14:paraId="4B266BBC" w14:textId="77777777" w:rsidR="00774EB0" w:rsidRDefault="00774EB0" w:rsidP="004709E2">
            <w:pPr>
              <w:jc w:val="center"/>
            </w:pPr>
            <w:r>
              <w:t xml:space="preserve">SIR </w:t>
            </w:r>
          </w:p>
        </w:tc>
        <w:tc>
          <w:tcPr>
            <w:tcW w:w="3219" w:type="dxa"/>
          </w:tcPr>
          <w:p w14:paraId="1BFFEBCF" w14:textId="77777777" w:rsidR="00774EB0" w:rsidRDefault="00774EB0" w:rsidP="004709E2">
            <w:pPr>
              <w:jc w:val="center"/>
            </w:pPr>
          </w:p>
          <w:p w14:paraId="440615E0" w14:textId="77777777" w:rsidR="00774EB0" w:rsidRDefault="00774EB0" w:rsidP="004709E2">
            <w:pPr>
              <w:jc w:val="center"/>
            </w:pPr>
            <w:r>
              <w:t xml:space="preserve">S: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nhiếm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38821CA0" w14:textId="77777777" w:rsidR="00774EB0" w:rsidRDefault="00774EB0" w:rsidP="004709E2">
            <w:pPr>
              <w:jc w:val="center"/>
            </w:pPr>
            <w:r>
              <w:t xml:space="preserve">I: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7290EF54" w14:textId="77777777" w:rsidR="00774EB0" w:rsidRDefault="00774EB0" w:rsidP="004709E2">
            <w:pPr>
              <w:jc w:val="center"/>
            </w:pPr>
            <w:r>
              <w:t xml:space="preserve">R: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</w:p>
        </w:tc>
        <w:tc>
          <w:tcPr>
            <w:tcW w:w="5304" w:type="dxa"/>
          </w:tcPr>
          <w:p w14:paraId="3D3A551D" w14:textId="77777777" w:rsidR="00774EB0" w:rsidRPr="001E6443" w:rsidRDefault="00774EB0" w:rsidP="004709E2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S'</m:t>
                </m:r>
                <m:r>
                  <w:rPr>
                    <w:rFonts w:ascii="Cambria Math" w:hAnsi="Cambria Math"/>
                  </w:rPr>
                  <m:t xml:space="preserve"> = -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SI</m:t>
                </m:r>
              </m:oMath>
            </m:oMathPara>
          </w:p>
          <w:p w14:paraId="01E00D16" w14:textId="77777777" w:rsidR="00774EB0" w:rsidRPr="0032155B" w:rsidRDefault="00774EB0" w:rsidP="004709E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I'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 xml:space="preserve">SI </m:t>
                </m:r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14:paraId="0B62A66A" w14:textId="77777777" w:rsidR="00774EB0" w:rsidRDefault="00774EB0" w:rsidP="004709E2">
            <w:pPr>
              <w:jc w:val="center"/>
            </w:pPr>
            <w:r>
              <w:rPr>
                <w:rFonts w:eastAsiaTheme="minorEastAsia"/>
              </w:rPr>
              <w:t xml:space="preserve">R’ =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994" w:type="dxa"/>
          </w:tcPr>
          <w:p w14:paraId="6296E46F" w14:textId="77777777" w:rsidR="00774EB0" w:rsidRDefault="00774EB0" w:rsidP="004709E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(bao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ra)</w:t>
            </w:r>
          </w:p>
          <w:p w14:paraId="51C66270" w14:textId="77777777" w:rsidR="00774EB0" w:rsidRDefault="00774EB0" w:rsidP="004709E2">
            <w:pPr>
              <w:jc w:val="center"/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: recovery rate = 1/</w:t>
            </w:r>
            <w:proofErr w:type="spellStart"/>
            <w:r>
              <w:t>tgian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99" w:type="dxa"/>
          </w:tcPr>
          <w:p w14:paraId="42BB315D" w14:textId="232C0238" w:rsidR="00774EB0" w:rsidRDefault="00774EB0" w:rsidP="004709E2">
            <w:pPr>
              <w:jc w:val="center"/>
            </w:pPr>
            <w:r>
              <w:t xml:space="preserve">S, I, 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</w:p>
        </w:tc>
      </w:tr>
      <w:tr w:rsidR="00774EB0" w14:paraId="1E9A07C3" w14:textId="77777777" w:rsidTr="004709E2">
        <w:tc>
          <w:tcPr>
            <w:tcW w:w="1965" w:type="dxa"/>
          </w:tcPr>
          <w:p w14:paraId="13441C2A" w14:textId="77777777" w:rsidR="00774EB0" w:rsidRDefault="00774EB0" w:rsidP="004709E2">
            <w:pPr>
              <w:jc w:val="center"/>
            </w:pPr>
            <w:r>
              <w:t>SEIR</w:t>
            </w:r>
          </w:p>
        </w:tc>
        <w:tc>
          <w:tcPr>
            <w:tcW w:w="3219" w:type="dxa"/>
          </w:tcPr>
          <w:p w14:paraId="36F93407" w14:textId="77777777" w:rsidR="00774EB0" w:rsidRDefault="00774EB0" w:rsidP="004709E2">
            <w:pPr>
              <w:jc w:val="center"/>
            </w:pPr>
            <w:r>
              <w:t xml:space="preserve">E: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ủ </w:t>
            </w:r>
            <w:proofErr w:type="spellStart"/>
            <w:r>
              <w:t>bệnh</w:t>
            </w:r>
            <w:proofErr w:type="spellEnd"/>
          </w:p>
        </w:tc>
        <w:tc>
          <w:tcPr>
            <w:tcW w:w="5304" w:type="dxa"/>
          </w:tcPr>
          <w:p w14:paraId="114DAFEF" w14:textId="77777777" w:rsidR="00774EB0" w:rsidRDefault="00774EB0" w:rsidP="004709E2">
            <w:pPr>
              <w:jc w:val="center"/>
            </w:pPr>
            <w:r>
              <w:object w:dxaOrig="1908" w:dyaOrig="1368" w14:anchorId="3832F6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9" type="#_x0000_t75" style="width:95.4pt;height:68.4pt" o:ole="">
                  <v:imagedata r:id="rId5" o:title=""/>
                </v:shape>
                <o:OLEObject Type="Embed" ProgID="PBrush" ShapeID="_x0000_i1289" DrawAspect="Content" ObjectID="_1646633122" r:id="rId6"/>
              </w:object>
            </w:r>
          </w:p>
        </w:tc>
        <w:tc>
          <w:tcPr>
            <w:tcW w:w="2994" w:type="dxa"/>
          </w:tcPr>
          <w:p w14:paraId="6C6330EC" w14:textId="77777777" w:rsidR="00774EB0" w:rsidRDefault="00774EB0" w:rsidP="004709E2">
            <w:pPr>
              <w:jc w:val="center"/>
            </w:pPr>
            <w:r>
              <w:t xml:space="preserve">N: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= S+ E+ I+ R</w:t>
            </w:r>
          </w:p>
          <w:p w14:paraId="3458CA6B" w14:textId="77777777" w:rsidR="00774EB0" w:rsidRPr="00AD3004" w:rsidRDefault="00774EB0" w:rsidP="004709E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  <m:r>
                  <w:rPr>
                    <w:rFonts w:ascii="Cambria Math" w:hAnsi="Cambria Math"/>
                  </w:rPr>
                  <m:t>: expose rate = 1/tgian ủ bệnh</m:t>
                </m:r>
              </m:oMath>
            </m:oMathPara>
          </w:p>
          <w:p w14:paraId="4D5A27F0" w14:textId="77777777" w:rsidR="00774EB0" w:rsidRDefault="00774EB0" w:rsidP="004709E2">
            <w:pPr>
              <w:jc w:val="center"/>
            </w:pPr>
            <w:r>
              <w:t xml:space="preserve">f: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(1-f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chết</w:t>
            </w:r>
            <w:proofErr w:type="spellEnd"/>
            <w:r>
              <w:t xml:space="preserve">) </w:t>
            </w:r>
          </w:p>
        </w:tc>
        <w:tc>
          <w:tcPr>
            <w:tcW w:w="1499" w:type="dxa"/>
          </w:tcPr>
          <w:p w14:paraId="16BAFD74" w14:textId="392173A7" w:rsidR="00774EB0" w:rsidRDefault="00774EB0" w:rsidP="004709E2">
            <w:pPr>
              <w:jc w:val="center"/>
            </w:pPr>
            <w:r>
              <w:t xml:space="preserve">S, E, I, R, </w:t>
            </w:r>
            <m:oMath>
              <m:r>
                <w:rPr>
                  <w:rFonts w:ascii="Cambria Math" w:hAnsi="Cambria Math"/>
                </w:rPr>
                <m:t xml:space="preserve"> κ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</w:p>
        </w:tc>
      </w:tr>
      <w:tr w:rsidR="00774EB0" w14:paraId="5EEF98FF" w14:textId="77777777" w:rsidTr="004709E2">
        <w:tc>
          <w:tcPr>
            <w:tcW w:w="1965" w:type="dxa"/>
          </w:tcPr>
          <w:p w14:paraId="1628754C" w14:textId="77777777" w:rsidR="00774EB0" w:rsidRDefault="00774EB0" w:rsidP="004709E2">
            <w:pPr>
              <w:jc w:val="center"/>
            </w:pPr>
            <w:r>
              <w:t>SITR (p.38)</w:t>
            </w:r>
          </w:p>
        </w:tc>
        <w:tc>
          <w:tcPr>
            <w:tcW w:w="3219" w:type="dxa"/>
          </w:tcPr>
          <w:p w14:paraId="29289397" w14:textId="77777777" w:rsidR="00774EB0" w:rsidRDefault="00774EB0" w:rsidP="004709E2">
            <w:pPr>
              <w:jc w:val="center"/>
            </w:pPr>
            <w:r>
              <w:t xml:space="preserve">T: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tgian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5304" w:type="dxa"/>
          </w:tcPr>
          <w:p w14:paraId="14B2DD6D" w14:textId="77777777" w:rsidR="00774EB0" w:rsidRDefault="00774EB0" w:rsidP="004709E2">
            <w:pPr>
              <w:jc w:val="center"/>
            </w:pPr>
            <w:r>
              <w:object w:dxaOrig="2988" w:dyaOrig="1248" w14:anchorId="1615CC88">
                <v:shape id="_x0000_i1291" type="#_x0000_t75" style="width:149.4pt;height:62.4pt" o:ole="">
                  <v:imagedata r:id="rId7" o:title=""/>
                </v:shape>
                <o:OLEObject Type="Embed" ProgID="PBrush" ShapeID="_x0000_i1291" DrawAspect="Content" ObjectID="_1646633123" r:id="rId8"/>
              </w:object>
            </w:r>
          </w:p>
        </w:tc>
        <w:tc>
          <w:tcPr>
            <w:tcW w:w="2994" w:type="dxa"/>
          </w:tcPr>
          <w:p w14:paraId="2CE562B5" w14:textId="77777777" w:rsidR="00774EB0" w:rsidRDefault="00774EB0" w:rsidP="004709E2">
            <w:pPr>
              <w:jc w:val="center"/>
            </w:pPr>
            <w:r>
              <w:t xml:space="preserve">γ: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%)</w:t>
            </w:r>
          </w:p>
          <w:p w14:paraId="770897DC" w14:textId="77777777" w:rsidR="00774EB0" w:rsidRDefault="00774EB0" w:rsidP="004709E2">
            <w:pPr>
              <w:jc w:val="center"/>
            </w:pPr>
            <w:r>
              <w:t xml:space="preserve">δ: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1FB6D885" w14:textId="77777777" w:rsidR="00774EB0" w:rsidRDefault="00774EB0" w:rsidP="004709E2">
            <w:pPr>
              <w:jc w:val="center"/>
            </w:pPr>
            <w:r w:rsidRPr="009F780C">
              <w:t>η</w:t>
            </w:r>
            <w:r>
              <w:t>: 1/</w:t>
            </w:r>
            <w:proofErr w:type="spellStart"/>
            <w:r>
              <w:t>tgian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99" w:type="dxa"/>
          </w:tcPr>
          <w:p w14:paraId="449D3B0F" w14:textId="49FA7694" w:rsidR="00774EB0" w:rsidRDefault="00774EB0" w:rsidP="004709E2">
            <w:pPr>
              <w:jc w:val="center"/>
            </w:pPr>
            <w:r>
              <w:t xml:space="preserve">S, I, T, 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  γ, δ,  η</m:t>
              </m:r>
            </m:oMath>
          </w:p>
        </w:tc>
      </w:tr>
      <w:tr w:rsidR="00353C6F" w14:paraId="3545C9F9" w14:textId="77777777" w:rsidTr="004709E2">
        <w:tc>
          <w:tcPr>
            <w:tcW w:w="1965" w:type="dxa"/>
          </w:tcPr>
          <w:p w14:paraId="4C0E9D99" w14:textId="4E9A4F2F" w:rsidR="00353C6F" w:rsidRDefault="00353C6F" w:rsidP="004709E2">
            <w:pPr>
              <w:jc w:val="center"/>
            </w:pPr>
            <w:r w:rsidRPr="00353C6F">
              <w:t>SIQR</w:t>
            </w:r>
            <w:r>
              <w:t xml:space="preserve"> (p. 351)</w:t>
            </w:r>
          </w:p>
        </w:tc>
        <w:tc>
          <w:tcPr>
            <w:tcW w:w="3219" w:type="dxa"/>
          </w:tcPr>
          <w:p w14:paraId="1D25CD81" w14:textId="2EFBCDC5" w:rsidR="00C4552A" w:rsidRDefault="00C4552A" w:rsidP="00C4552A">
            <w:pPr>
              <w:jc w:val="center"/>
            </w:pPr>
            <w:r>
              <w:t xml:space="preserve">Q: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AE7820">
              <w:t>áp</w:t>
            </w:r>
            <w:proofErr w:type="spellEnd"/>
            <w:r w:rsidR="00AE7820">
              <w:t xml:space="preserve"> </w:t>
            </w:r>
            <w:proofErr w:type="spellStart"/>
            <w:r w:rsidR="00AE7820">
              <w:t>dụng</w:t>
            </w:r>
            <w:proofErr w:type="spellEnd"/>
            <w:r w:rsidR="00AE7820"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</w:p>
          <w:p w14:paraId="67C0C8ED" w14:textId="77777777" w:rsidR="00353C6F" w:rsidRDefault="00353C6F" w:rsidP="004709E2">
            <w:pPr>
              <w:jc w:val="center"/>
            </w:pPr>
          </w:p>
        </w:tc>
        <w:tc>
          <w:tcPr>
            <w:tcW w:w="5304" w:type="dxa"/>
          </w:tcPr>
          <w:p w14:paraId="69E91DD6" w14:textId="7D83F00A" w:rsidR="00353C6F" w:rsidRDefault="00353C6F" w:rsidP="004709E2">
            <w:pPr>
              <w:jc w:val="center"/>
            </w:pPr>
            <w:r>
              <w:object w:dxaOrig="2772" w:dyaOrig="1092" w14:anchorId="01CBABA1">
                <v:shape id="_x0000_i1292" type="#_x0000_t75" style="width:138.6pt;height:54.6pt" o:ole="">
                  <v:imagedata r:id="rId9" o:title=""/>
                </v:shape>
                <o:OLEObject Type="Embed" ProgID="PBrush" ShapeID="_x0000_i1292" DrawAspect="Content" ObjectID="_1646633124" r:id="rId10"/>
              </w:object>
            </w:r>
          </w:p>
        </w:tc>
        <w:tc>
          <w:tcPr>
            <w:tcW w:w="2994" w:type="dxa"/>
          </w:tcPr>
          <w:p w14:paraId="5505AA2D" w14:textId="4C7E3D21" w:rsidR="00353C6F" w:rsidRDefault="00C4552A" w:rsidP="004709E2">
            <w:pPr>
              <w:jc w:val="center"/>
            </w:pPr>
            <w:r>
              <w:t xml:space="preserve">(*) </w:t>
            </w:r>
            <w:r>
              <w:t>γ</w:t>
            </w:r>
            <w:r>
              <w:t xml:space="preserve">: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\alpha</w:t>
            </w:r>
          </w:p>
          <w:p w14:paraId="21FBFE32" w14:textId="55164C5E" w:rsidR="00C4552A" w:rsidRDefault="00C4552A" w:rsidP="004709E2">
            <w:pPr>
              <w:jc w:val="center"/>
            </w:pPr>
            <w:r>
              <w:t xml:space="preserve">\mu: </w:t>
            </w:r>
            <w:proofErr w:type="spellStart"/>
            <w:r w:rsidR="00C82FAB">
              <w:t>lượng</w:t>
            </w:r>
            <w:proofErr w:type="spellEnd"/>
            <w:r w:rsidR="00C82FAB">
              <w:t xml:space="preserve"> </w:t>
            </w:r>
            <w:proofErr w:type="spellStart"/>
            <w:r w:rsidR="00C82FAB">
              <w:t>giảm</w:t>
            </w:r>
            <w:proofErr w:type="spellEnd"/>
            <w:r>
              <w:t xml:space="preserve"> d</w:t>
            </w:r>
            <w:proofErr w:type="spellStart"/>
            <w:r>
              <w:t>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tgian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2A407ADA" w14:textId="135F943B" w:rsidR="00C4552A" w:rsidRDefault="00C4552A" w:rsidP="004709E2">
            <w:pPr>
              <w:jc w:val="center"/>
            </w:pPr>
            <w:r w:rsidRPr="00C4552A">
              <w:t>δ</w:t>
            </w:r>
            <w:r>
              <w:t xml:space="preserve">: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(bao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tg</w:t>
            </w:r>
            <w:proofErr w:type="spellEnd"/>
            <w:r>
              <w:t>)</w:t>
            </w:r>
          </w:p>
          <w:p w14:paraId="54C657D3" w14:textId="77777777" w:rsidR="00C4552A" w:rsidRDefault="00C4552A" w:rsidP="004709E2">
            <w:pPr>
              <w:jc w:val="center"/>
            </w:pPr>
          </w:p>
          <w:p w14:paraId="2F2A909B" w14:textId="1E238DDA" w:rsidR="00C4552A" w:rsidRDefault="00C4552A" w:rsidP="004709E2">
            <w:pPr>
              <w:jc w:val="center"/>
            </w:pPr>
          </w:p>
        </w:tc>
        <w:tc>
          <w:tcPr>
            <w:tcW w:w="1499" w:type="dxa"/>
          </w:tcPr>
          <w:p w14:paraId="6CA59D7D" w14:textId="77777777" w:rsidR="007E4127" w:rsidRPr="007E4127" w:rsidRDefault="00C4552A" w:rsidP="004709E2">
            <w:pPr>
              <w:jc w:val="center"/>
              <w:rPr>
                <w:rFonts w:eastAsiaTheme="minorEastAsia"/>
              </w:rPr>
            </w:pPr>
            <w:r>
              <w:t xml:space="preserve">S, I, Q, R, </w:t>
            </w:r>
          </w:p>
          <w:p w14:paraId="0EFA5970" w14:textId="36D2AD5D" w:rsidR="00353C6F" w:rsidRDefault="007E4127" w:rsidP="004709E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 xml:space="preserve">  δ</m:t>
                </m:r>
              </m:oMath>
            </m:oMathPara>
          </w:p>
        </w:tc>
      </w:tr>
      <w:tr w:rsidR="00C82FAB" w14:paraId="4C90ECC4" w14:textId="77777777" w:rsidTr="004709E2">
        <w:tc>
          <w:tcPr>
            <w:tcW w:w="1965" w:type="dxa"/>
          </w:tcPr>
          <w:p w14:paraId="5963A570" w14:textId="229B9A98" w:rsidR="00C82FAB" w:rsidRPr="00353C6F" w:rsidRDefault="00C82FAB" w:rsidP="004709E2">
            <w:pPr>
              <w:jc w:val="center"/>
            </w:pPr>
            <w:r>
              <w:t>SEIQR</w:t>
            </w:r>
          </w:p>
        </w:tc>
        <w:tc>
          <w:tcPr>
            <w:tcW w:w="3219" w:type="dxa"/>
          </w:tcPr>
          <w:p w14:paraId="5ECE9B9E" w14:textId="77777777" w:rsidR="00C82FAB" w:rsidRDefault="00C82FAB" w:rsidP="00C4552A">
            <w:pPr>
              <w:jc w:val="center"/>
            </w:pPr>
          </w:p>
        </w:tc>
        <w:tc>
          <w:tcPr>
            <w:tcW w:w="5304" w:type="dxa"/>
          </w:tcPr>
          <w:p w14:paraId="3734E5C0" w14:textId="66A22FD1" w:rsidR="00C82FAB" w:rsidRDefault="00C82FAB" w:rsidP="004709E2">
            <w:pPr>
              <w:jc w:val="center"/>
            </w:pPr>
            <w:r>
              <w:object w:dxaOrig="3552" w:dyaOrig="2544" w14:anchorId="0E261938">
                <v:shape id="_x0000_i1297" type="#_x0000_t75" style="width:177.6pt;height:127.2pt" o:ole="">
                  <v:imagedata r:id="rId11" o:title=""/>
                </v:shape>
                <o:OLEObject Type="Embed" ProgID="PBrush" ShapeID="_x0000_i1297" DrawAspect="Content" ObjectID="_1646633125" r:id="rId12"/>
              </w:object>
            </w:r>
          </w:p>
        </w:tc>
        <w:tc>
          <w:tcPr>
            <w:tcW w:w="2994" w:type="dxa"/>
          </w:tcPr>
          <w:p w14:paraId="703DBF7C" w14:textId="77777777" w:rsidR="00C82FAB" w:rsidRDefault="00C82FAB" w:rsidP="004709E2">
            <w:pPr>
              <w:jc w:val="center"/>
            </w:pPr>
            <w:r>
              <w:t>(*</w:t>
            </w:r>
            <w:proofErr w:type="gramStart"/>
            <w:r>
              <w:t xml:space="preserve">) </w:t>
            </w:r>
            <w:r w:rsidRPr="00C82FAB">
              <w:t xml:space="preserve"> Λ</w:t>
            </w:r>
            <w:proofErr w:type="gramEnd"/>
            <w:r>
              <w:t xml:space="preserve">: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/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đvi</w:t>
            </w:r>
            <w:proofErr w:type="spellEnd"/>
            <w:r>
              <w:t xml:space="preserve"> </w:t>
            </w:r>
            <w:proofErr w:type="spellStart"/>
            <w:r>
              <w:t>tgian</w:t>
            </w:r>
            <w:proofErr w:type="spellEnd"/>
          </w:p>
          <w:p w14:paraId="17F3F0CD" w14:textId="77777777" w:rsidR="00C82FAB" w:rsidRDefault="00C82FAB" w:rsidP="004709E2">
            <w:pPr>
              <w:jc w:val="center"/>
            </w:pPr>
            <w:r>
              <w:t xml:space="preserve">\mu: </w:t>
            </w:r>
            <w:proofErr w:type="spellStart"/>
            <w:proofErr w:type="gramStart"/>
            <w:r>
              <w:t>lượng</w:t>
            </w:r>
            <w:proofErr w:type="spellEnd"/>
            <w:r>
              <w:t xml:space="preserve">  </w:t>
            </w:r>
            <w:proofErr w:type="spellStart"/>
            <w:r>
              <w:t>giảm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tgian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453EBCE8" w14:textId="77777777" w:rsidR="00F72DB5" w:rsidRDefault="00F72DB5" w:rsidP="004709E2">
            <w:pPr>
              <w:jc w:val="center"/>
            </w:pPr>
            <w:r>
              <w:t xml:space="preserve">\lambda: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  <w:p w14:paraId="419AE31C" w14:textId="77777777" w:rsidR="00F72DB5" w:rsidRDefault="00F72DB5" w:rsidP="004709E2">
            <w:pPr>
              <w:jc w:val="center"/>
            </w:pPr>
            <w:r>
              <w:t xml:space="preserve">\epsilon_1: death rate </w:t>
            </w:r>
            <w:proofErr w:type="spellStart"/>
            <w:r>
              <w:t>của</w:t>
            </w:r>
            <w:proofErr w:type="spellEnd"/>
            <w:r>
              <w:t xml:space="preserve"> class Q</w:t>
            </w:r>
          </w:p>
          <w:p w14:paraId="536FF9FA" w14:textId="77777777" w:rsidR="00C82FAB" w:rsidRDefault="00F72DB5" w:rsidP="004709E2">
            <w:pPr>
              <w:jc w:val="center"/>
            </w:pPr>
            <w:r>
              <w:t xml:space="preserve">\epsilon_2: death rate </w:t>
            </w:r>
            <w:proofErr w:type="spellStart"/>
            <w:r>
              <w:t>của</w:t>
            </w:r>
            <w:proofErr w:type="spellEnd"/>
            <w:r>
              <w:t xml:space="preserve"> class I </w:t>
            </w:r>
          </w:p>
          <w:p w14:paraId="035EB911" w14:textId="09D5DDF1" w:rsidR="00F72DB5" w:rsidRDefault="00F72DB5" w:rsidP="004709E2">
            <w:pPr>
              <w:jc w:val="center"/>
            </w:pPr>
            <w:r>
              <w:t xml:space="preserve">γ: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\alpha</w:t>
            </w:r>
          </w:p>
        </w:tc>
        <w:tc>
          <w:tcPr>
            <w:tcW w:w="1499" w:type="dxa"/>
          </w:tcPr>
          <w:p w14:paraId="63EE6B22" w14:textId="77777777" w:rsidR="00C82FAB" w:rsidRDefault="00C82FAB" w:rsidP="004709E2">
            <w:pPr>
              <w:jc w:val="center"/>
            </w:pPr>
          </w:p>
        </w:tc>
      </w:tr>
      <w:tr w:rsidR="00774EB0" w14:paraId="2C8AA7F3" w14:textId="77777777" w:rsidTr="004709E2">
        <w:tc>
          <w:tcPr>
            <w:tcW w:w="1965" w:type="dxa"/>
          </w:tcPr>
          <w:p w14:paraId="28CD53B7" w14:textId="77777777" w:rsidR="00774EB0" w:rsidRDefault="00774EB0" w:rsidP="004709E2">
            <w:pPr>
              <w:jc w:val="center"/>
            </w:pPr>
            <w:r>
              <w:lastRenderedPageBreak/>
              <w:t>SEQIJR (p.41)</w:t>
            </w:r>
          </w:p>
        </w:tc>
        <w:tc>
          <w:tcPr>
            <w:tcW w:w="3219" w:type="dxa"/>
          </w:tcPr>
          <w:p w14:paraId="7FCC9242" w14:textId="77777777" w:rsidR="00774EB0" w:rsidRDefault="00774EB0" w:rsidP="004709E2">
            <w:pPr>
              <w:jc w:val="center"/>
            </w:pPr>
            <w:r>
              <w:t xml:space="preserve">J: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</w:p>
        </w:tc>
        <w:tc>
          <w:tcPr>
            <w:tcW w:w="5304" w:type="dxa"/>
          </w:tcPr>
          <w:p w14:paraId="6613F465" w14:textId="77777777" w:rsidR="00774EB0" w:rsidRDefault="00774EB0" w:rsidP="004709E2">
            <w:pPr>
              <w:jc w:val="center"/>
            </w:pPr>
            <w:r>
              <w:object w:dxaOrig="5088" w:dyaOrig="1968" w14:anchorId="5D542A49">
                <v:shape id="_x0000_i1290" type="#_x0000_t75" style="width:254.4pt;height:98.4pt" o:ole="">
                  <v:imagedata r:id="rId13" o:title=""/>
                </v:shape>
                <o:OLEObject Type="Embed" ProgID="PBrush" ShapeID="_x0000_i1290" DrawAspect="Content" ObjectID="_1646633126" r:id="rId14"/>
              </w:object>
            </w:r>
          </w:p>
        </w:tc>
        <w:tc>
          <w:tcPr>
            <w:tcW w:w="2994" w:type="dxa"/>
          </w:tcPr>
          <w:p w14:paraId="2693C1CD" w14:textId="77777777" w:rsidR="00774EB0" w:rsidRDefault="00774EB0" w:rsidP="004709E2">
            <w:pPr>
              <w:jc w:val="center"/>
            </w:pPr>
            <w:proofErr w:type="spellStart"/>
            <w:r w:rsidRPr="009F780C">
              <w:t>ε</w:t>
            </w:r>
            <w:r>
              <w:t>_</w:t>
            </w:r>
            <w:r w:rsidRPr="009F780C">
              <w:t>E</w:t>
            </w:r>
            <w:proofErr w:type="spellEnd"/>
            <w:r>
              <w:t xml:space="preserve">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(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/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>)</w:t>
            </w:r>
          </w:p>
          <w:p w14:paraId="0D7E99A9" w14:textId="205BB5FC" w:rsidR="00774EB0" w:rsidRDefault="00774EB0" w:rsidP="004709E2">
            <w:pPr>
              <w:jc w:val="center"/>
            </w:pPr>
            <w:proofErr w:type="spellStart"/>
            <w:r w:rsidRPr="009F780C">
              <w:t>ε</w:t>
            </w:r>
            <w:r>
              <w:t>_</w:t>
            </w:r>
            <w:r w:rsidRPr="009F780C">
              <w:t>Q</w:t>
            </w:r>
            <w:proofErr w:type="spellEnd"/>
            <w:r>
              <w:t xml:space="preserve">: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(</w:t>
            </w:r>
            <w:r>
              <w:t xml:space="preserve">Contact rate </w:t>
            </w:r>
            <w:proofErr w:type="spellStart"/>
            <w:r>
              <w:t>trước</w:t>
            </w:r>
            <w:proofErr w:type="spellEnd"/>
            <w:r>
              <w:t xml:space="preserve">/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>)</w:t>
            </w:r>
          </w:p>
          <w:p w14:paraId="4CD9A71C" w14:textId="77777777" w:rsidR="00774EB0" w:rsidRDefault="00774EB0" w:rsidP="004709E2">
            <w:pPr>
              <w:jc w:val="center"/>
            </w:pPr>
            <w:proofErr w:type="spellStart"/>
            <w:r w:rsidRPr="00F70E97">
              <w:t>ε</w:t>
            </w:r>
            <w:r>
              <w:t>_J</w:t>
            </w:r>
            <w:proofErr w:type="spellEnd"/>
            <w:r>
              <w:t xml:space="preserve">: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</w:p>
          <w:p w14:paraId="54ECB849" w14:textId="77777777" w:rsidR="00774EB0" w:rsidRDefault="00774EB0" w:rsidP="004709E2">
            <w:pPr>
              <w:jc w:val="center"/>
            </w:pPr>
            <w:r w:rsidRPr="00F70E97">
              <w:t>κ</w:t>
            </w:r>
            <w:r>
              <w:t>_</w:t>
            </w:r>
            <w:r w:rsidRPr="00F70E97">
              <w:t>1</w:t>
            </w:r>
            <w:r>
              <w:t xml:space="preserve">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\beta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SIR)</w:t>
            </w:r>
          </w:p>
          <w:p w14:paraId="18669D91" w14:textId="77777777" w:rsidR="00774EB0" w:rsidRDefault="00774EB0" w:rsidP="004709E2">
            <w:pPr>
              <w:jc w:val="center"/>
            </w:pPr>
            <w:r w:rsidRPr="00F70E97">
              <w:t>κ</w:t>
            </w:r>
            <w:r>
              <w:t xml:space="preserve">_2: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  <w:p w14:paraId="33B77D5F" w14:textId="77777777" w:rsidR="00774EB0" w:rsidRDefault="00774EB0" w:rsidP="004709E2">
            <w:pPr>
              <w:jc w:val="center"/>
            </w:pPr>
            <w:r>
              <w:t xml:space="preserve">\alpha_1: recovery+ death rate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</w:p>
          <w:p w14:paraId="21517A1C" w14:textId="77777777" w:rsidR="00774EB0" w:rsidRDefault="00774EB0" w:rsidP="004709E2">
            <w:pPr>
              <w:jc w:val="center"/>
            </w:pPr>
            <w:r>
              <w:t xml:space="preserve">\alpha_2: recovery+ death rate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</w:p>
          <w:p w14:paraId="4DC63A6B" w14:textId="77777777" w:rsidR="00774EB0" w:rsidRDefault="00774EB0" w:rsidP="004709E2">
            <w:pPr>
              <w:jc w:val="center"/>
            </w:pPr>
            <w:r>
              <w:t xml:space="preserve">f_1:  recovery rate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14:paraId="48BC0831" w14:textId="77777777" w:rsidR="00774EB0" w:rsidRDefault="00774EB0" w:rsidP="004709E2">
            <w:pPr>
              <w:jc w:val="center"/>
            </w:pPr>
            <w:r>
              <w:t xml:space="preserve">f_2:  recovery rate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</w:p>
          <w:p w14:paraId="70931A29" w14:textId="77777777" w:rsidR="00774EB0" w:rsidRDefault="00774EB0" w:rsidP="004709E2">
            <w:pPr>
              <w:jc w:val="center"/>
            </w:pPr>
          </w:p>
        </w:tc>
        <w:tc>
          <w:tcPr>
            <w:tcW w:w="1499" w:type="dxa"/>
          </w:tcPr>
          <w:p w14:paraId="3CBDE097" w14:textId="7200CB64" w:rsidR="007E4127" w:rsidRPr="007E4127" w:rsidRDefault="007E4127" w:rsidP="004709E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S, E, Q, I, J, R, </m:t>
                </m:r>
              </m:oMath>
            </m:oMathPara>
          </w:p>
          <w:p w14:paraId="3B22CA42" w14:textId="57B8C8BE" w:rsidR="007E4127" w:rsidRPr="007E4127" w:rsidRDefault="007E4127" w:rsidP="004709E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5964A9C" w14:textId="3BB2FE14" w:rsidR="007E4127" w:rsidRPr="007E4127" w:rsidRDefault="007E4127" w:rsidP="004709E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65F9958" w14:textId="68501CD5" w:rsidR="00774EB0" w:rsidRDefault="007E4127" w:rsidP="00470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F890FE1" w14:textId="1C497E02" w:rsidR="00774EB0" w:rsidRDefault="00774EB0" w:rsidP="0032155B"/>
    <w:p w14:paraId="69C0FC84" w14:textId="656709AA" w:rsidR="0032155B" w:rsidRDefault="007E4127" w:rsidP="0032155B">
      <w:proofErr w:type="spellStart"/>
      <w:r>
        <w:t>Lưu</w:t>
      </w:r>
      <w:proofErr w:type="spellEnd"/>
      <w:r>
        <w:t xml:space="preserve"> ý: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(*)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notation </w:t>
      </w:r>
      <w:proofErr w:type="spellStart"/>
      <w:r>
        <w:t>khác</w:t>
      </w:r>
      <w:proofErr w:type="spellEnd"/>
      <w:r w:rsidR="00F72DB5">
        <w:t xml:space="preserve">, </w:t>
      </w:r>
      <w:proofErr w:type="spellStart"/>
      <w:r w:rsidR="00F72DB5">
        <w:t>còn</w:t>
      </w:r>
      <w:proofErr w:type="spellEnd"/>
      <w:r w:rsidR="00F72DB5">
        <w:t xml:space="preserve"> </w:t>
      </w:r>
      <w:proofErr w:type="spellStart"/>
      <w:r w:rsidR="00F72DB5">
        <w:t>lại</w:t>
      </w:r>
      <w:proofErr w:type="spellEnd"/>
      <w:r w:rsidR="00F72DB5">
        <w:t xml:space="preserve"> </w:t>
      </w:r>
      <w:proofErr w:type="spellStart"/>
      <w:r w:rsidR="00F72DB5">
        <w:t>các</w:t>
      </w:r>
      <w:proofErr w:type="spellEnd"/>
      <w:r w:rsidR="00F72DB5">
        <w:t xml:space="preserve"> notation </w:t>
      </w:r>
      <w:proofErr w:type="spellStart"/>
      <w:r w:rsidR="00F72DB5">
        <w:t>nếu</w:t>
      </w:r>
      <w:proofErr w:type="spellEnd"/>
      <w:r w:rsidR="00F72DB5">
        <w:t xml:space="preserve"> </w:t>
      </w:r>
      <w:proofErr w:type="spellStart"/>
      <w:r w:rsidR="00F72DB5">
        <w:t>không</w:t>
      </w:r>
      <w:proofErr w:type="spellEnd"/>
      <w:r w:rsidR="00F72DB5">
        <w:t xml:space="preserve"> </w:t>
      </w:r>
      <w:proofErr w:type="spellStart"/>
      <w:r w:rsidR="00F72DB5">
        <w:t>được</w:t>
      </w:r>
      <w:proofErr w:type="spellEnd"/>
      <w:r w:rsidR="00F72DB5">
        <w:t xml:space="preserve"> </w:t>
      </w:r>
      <w:proofErr w:type="spellStart"/>
      <w:r w:rsidR="00F72DB5">
        <w:t>nhắc</w:t>
      </w:r>
      <w:proofErr w:type="spellEnd"/>
      <w:r w:rsidR="00F72DB5">
        <w:t xml:space="preserve"> </w:t>
      </w:r>
      <w:proofErr w:type="spellStart"/>
      <w:r w:rsidR="00F72DB5">
        <w:t>đến</w:t>
      </w:r>
      <w:proofErr w:type="spellEnd"/>
      <w:r w:rsidR="00F72DB5">
        <w:t xml:space="preserve"> </w:t>
      </w:r>
      <w:proofErr w:type="spellStart"/>
      <w:r w:rsidR="00F72DB5">
        <w:t>thì</w:t>
      </w:r>
      <w:proofErr w:type="spellEnd"/>
      <w:r w:rsidR="00F72DB5">
        <w:t xml:space="preserve"> </w:t>
      </w:r>
      <w:proofErr w:type="spellStart"/>
      <w:r w:rsidR="00F72DB5">
        <w:t>tương</w:t>
      </w:r>
      <w:proofErr w:type="spellEnd"/>
      <w:r w:rsidR="00F72DB5">
        <w:t xml:space="preserve"> </w:t>
      </w:r>
      <w:proofErr w:type="spellStart"/>
      <w:r w:rsidR="00F72DB5">
        <w:t>tự</w:t>
      </w:r>
      <w:proofErr w:type="spellEnd"/>
      <w:r w:rsidR="00F72DB5">
        <w:t xml:space="preserve"> </w:t>
      </w:r>
      <w:proofErr w:type="spellStart"/>
      <w:r w:rsidR="00F72DB5">
        <w:t>như</w:t>
      </w:r>
      <w:proofErr w:type="spellEnd"/>
      <w:r w:rsidR="00F72DB5">
        <w:t xml:space="preserve"> </w:t>
      </w:r>
      <w:proofErr w:type="spellStart"/>
      <w:r w:rsidR="00F72DB5">
        <w:t>trên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format </w:t>
      </w:r>
      <w:proofErr w:type="spellStart"/>
      <w:r>
        <w:t>lại</w:t>
      </w:r>
      <w:proofErr w:type="spellEnd"/>
      <w:r>
        <w:t xml:space="preserve"> do limitation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engine </w:t>
      </w:r>
      <w:proofErr w:type="spellStart"/>
      <w:r>
        <w:t>trong</w:t>
      </w:r>
      <w:proofErr w:type="spellEnd"/>
      <w:r>
        <w:t xml:space="preserve"> Word Table</w:t>
      </w:r>
    </w:p>
    <w:p w14:paraId="5993BBD5" w14:textId="5C42E1F9" w:rsidR="0032155B" w:rsidRDefault="0032155B" w:rsidP="0032155B">
      <w:pPr>
        <w:rPr>
          <w:b/>
          <w:bCs/>
        </w:rPr>
      </w:pPr>
      <w:r w:rsidRPr="007E4127">
        <w:rPr>
          <w:b/>
          <w:bCs/>
        </w:rPr>
        <w:t xml:space="preserve">II, </w:t>
      </w:r>
      <w:proofErr w:type="spellStart"/>
      <w:r w:rsidRPr="007E4127">
        <w:rPr>
          <w:b/>
          <w:bCs/>
        </w:rPr>
        <w:t>Một</w:t>
      </w:r>
      <w:proofErr w:type="spellEnd"/>
      <w:r w:rsidRPr="007E4127">
        <w:rPr>
          <w:b/>
          <w:bCs/>
        </w:rPr>
        <w:t xml:space="preserve"> </w:t>
      </w:r>
      <w:proofErr w:type="spellStart"/>
      <w:r w:rsidRPr="007E4127">
        <w:rPr>
          <w:b/>
          <w:bCs/>
        </w:rPr>
        <w:t>số</w:t>
      </w:r>
      <w:proofErr w:type="spellEnd"/>
      <w:r w:rsidRPr="007E4127">
        <w:rPr>
          <w:b/>
          <w:bCs/>
        </w:rPr>
        <w:t xml:space="preserve"> </w:t>
      </w:r>
      <w:proofErr w:type="spellStart"/>
      <w:r w:rsidRPr="007E4127">
        <w:rPr>
          <w:b/>
          <w:bCs/>
        </w:rPr>
        <w:t>lưu</w:t>
      </w:r>
      <w:proofErr w:type="spellEnd"/>
      <w:r w:rsidRPr="007E4127">
        <w:rPr>
          <w:b/>
          <w:bCs/>
        </w:rPr>
        <w:t xml:space="preserve"> ý</w:t>
      </w:r>
    </w:p>
    <w:p w14:paraId="6FE4FF4E" w14:textId="779B4BB4" w:rsidR="00BE0574" w:rsidRDefault="00BE0574" w:rsidP="0032155B">
      <w:pPr>
        <w:rPr>
          <w:b/>
          <w:bCs/>
        </w:rPr>
      </w:pPr>
      <w:r>
        <w:rPr>
          <w:b/>
          <w:bCs/>
        </w:rPr>
        <w:t>1, Modeling methodology</w:t>
      </w:r>
    </w:p>
    <w:p w14:paraId="1BB42D35" w14:textId="7B507270" w:rsidR="00BE0574" w:rsidRDefault="00BE0574" w:rsidP="0032155B">
      <w:r>
        <w:rPr>
          <w:b/>
          <w:bCs/>
        </w:rP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instructive,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/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 w:rsidR="00EE0DC3">
        <w:t>Các</w:t>
      </w:r>
      <w:proofErr w:type="spellEnd"/>
      <w:r w:rsidR="00EE0DC3">
        <w:t xml:space="preserve"> model </w:t>
      </w:r>
      <w:proofErr w:type="spellStart"/>
      <w:r w:rsidR="00EE0DC3">
        <w:t>này</w:t>
      </w:r>
      <w:proofErr w:type="spellEnd"/>
      <w:r w:rsidR="00EE0DC3">
        <w:t xml:space="preserve"> </w:t>
      </w:r>
      <w:proofErr w:type="spellStart"/>
      <w:r w:rsidR="00EE0DC3">
        <w:t>có</w:t>
      </w:r>
      <w:proofErr w:type="spellEnd"/>
      <w:r w:rsidR="00EE0DC3">
        <w:t xml:space="preserve"> </w:t>
      </w:r>
      <w:proofErr w:type="spellStart"/>
      <w:r w:rsidR="00EE0DC3">
        <w:t>thể</w:t>
      </w:r>
      <w:proofErr w:type="spellEnd"/>
      <w:r w:rsidR="00EE0DC3">
        <w:t xml:space="preserve"> </w:t>
      </w:r>
      <w:proofErr w:type="spellStart"/>
      <w:r w:rsidR="00EE0DC3">
        <w:t>thay</w:t>
      </w:r>
      <w:proofErr w:type="spellEnd"/>
      <w:r w:rsidR="00EE0DC3">
        <w:t xml:space="preserve"> </w:t>
      </w:r>
      <w:proofErr w:type="spellStart"/>
      <w:r w:rsidR="00EE0DC3">
        <w:t>đổi</w:t>
      </w:r>
      <w:proofErr w:type="spellEnd"/>
      <w:r w:rsidR="00EE0DC3">
        <w:t xml:space="preserve"> </w:t>
      </w:r>
      <w:proofErr w:type="spellStart"/>
      <w:r w:rsidR="00EE0DC3">
        <w:t>để</w:t>
      </w:r>
      <w:proofErr w:type="spellEnd"/>
      <w:r w:rsidR="00EE0DC3">
        <w:t xml:space="preserve"> incorporate </w:t>
      </w:r>
      <w:proofErr w:type="spellStart"/>
      <w:r w:rsidR="00EE0DC3">
        <w:t>thêm</w:t>
      </w:r>
      <w:proofErr w:type="spellEnd"/>
      <w:r w:rsidR="00EE0DC3">
        <w:t xml:space="preserve"> </w:t>
      </w:r>
      <w:r w:rsidR="006B191C">
        <w:t xml:space="preserve">demographic factors </w:t>
      </w:r>
      <w:proofErr w:type="spellStart"/>
      <w:r w:rsidR="006B191C">
        <w:t>của</w:t>
      </w:r>
      <w:proofErr w:type="spellEnd"/>
      <w:r w:rsidR="006B191C">
        <w:t xml:space="preserve"> population (</w:t>
      </w:r>
      <w:proofErr w:type="spellStart"/>
      <w:r w:rsidR="00DE1ADD">
        <w:t>chương</w:t>
      </w:r>
      <w:proofErr w:type="spellEnd"/>
      <w:r w:rsidR="00DE1ADD">
        <w:t xml:space="preserve"> 5), </w:t>
      </w:r>
      <w:r w:rsidR="005F3057">
        <w:t xml:space="preserve">geographic spread </w:t>
      </w:r>
      <w:proofErr w:type="spellStart"/>
      <w:r w:rsidR="005F3057">
        <w:t>của</w:t>
      </w:r>
      <w:proofErr w:type="spellEnd"/>
      <w:r w:rsidR="005F3057">
        <w:t xml:space="preserve"> population (</w:t>
      </w:r>
      <w:proofErr w:type="spellStart"/>
      <w:r w:rsidR="0091152A">
        <w:t>chương</w:t>
      </w:r>
      <w:proofErr w:type="spellEnd"/>
      <w:r w:rsidR="0091152A">
        <w:t xml:space="preserve"> 8</w:t>
      </w:r>
      <w:proofErr w:type="gramStart"/>
      <w:r w:rsidR="0091152A">
        <w:t>)</w:t>
      </w:r>
      <w:r w:rsidR="00BB452C">
        <w:t xml:space="preserve">  </w:t>
      </w:r>
      <w:proofErr w:type="spellStart"/>
      <w:r w:rsidR="00BB452C">
        <w:t>để</w:t>
      </w:r>
      <w:proofErr w:type="spellEnd"/>
      <w:proofErr w:type="gramEnd"/>
      <w:r w:rsidR="00BB452C">
        <w:t xml:space="preserve"> tang </w:t>
      </w:r>
      <w:proofErr w:type="spellStart"/>
      <w:r w:rsidR="00BB452C">
        <w:t>tính</w:t>
      </w:r>
      <w:proofErr w:type="spellEnd"/>
      <w:r w:rsidR="00BB452C">
        <w:t xml:space="preserve"> </w:t>
      </w:r>
      <w:proofErr w:type="spellStart"/>
      <w:r w:rsidR="00BB452C">
        <w:t>chính</w:t>
      </w:r>
      <w:proofErr w:type="spellEnd"/>
      <w:r w:rsidR="00BB452C">
        <w:t xml:space="preserve"> </w:t>
      </w:r>
      <w:proofErr w:type="spellStart"/>
      <w:r w:rsidR="00BB452C">
        <w:t>xác</w:t>
      </w:r>
      <w:proofErr w:type="spellEnd"/>
      <w:r w:rsidR="00BB452C">
        <w:t>.</w:t>
      </w:r>
    </w:p>
    <w:p w14:paraId="08F6839D" w14:textId="77777777" w:rsidR="00F72DB5" w:rsidRPr="00BE0574" w:rsidRDefault="00F72DB5" w:rsidP="0032155B"/>
    <w:p w14:paraId="3EB25F89" w14:textId="75FD174F" w:rsidR="007E4127" w:rsidRDefault="00BE0574" w:rsidP="0084551C">
      <w:pPr>
        <w:rPr>
          <w:b/>
          <w:bCs/>
        </w:rPr>
      </w:pPr>
      <w:r>
        <w:rPr>
          <w:b/>
          <w:bCs/>
        </w:rPr>
        <w:lastRenderedPageBreak/>
        <w:t>2</w:t>
      </w:r>
      <w:r w:rsidR="007E4127">
        <w:rPr>
          <w:b/>
          <w:bCs/>
        </w:rPr>
        <w:t xml:space="preserve">, </w:t>
      </w:r>
      <w:r w:rsidR="0084551C">
        <w:rPr>
          <w:b/>
          <w:bCs/>
        </w:rPr>
        <w:t>Input parameters methodology</w:t>
      </w:r>
    </w:p>
    <w:p w14:paraId="41E390AF" w14:textId="705A7E7D" w:rsidR="0084551C" w:rsidRDefault="0084551C" w:rsidP="0084551C">
      <w:r>
        <w:rPr>
          <w:b/>
          <w:bCs/>
        </w:rPr>
        <w:tab/>
      </w:r>
      <w:proofErr w:type="spellStart"/>
      <w:r>
        <w:t>Các</w:t>
      </w:r>
      <w:proofErr w:type="spellEnd"/>
      <w:r>
        <w:t xml:space="preserve"> input parameters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probability distribution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t>probability distribution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probability distribution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3F4C0D">
        <w:t>sử</w:t>
      </w:r>
      <w:proofErr w:type="spellEnd"/>
      <w:r w:rsidR="003F4C0D">
        <w:t xml:space="preserve"> </w:t>
      </w:r>
      <w:proofErr w:type="spellStart"/>
      <w:r w:rsidR="003F4C0D">
        <w:t>dụng</w:t>
      </w:r>
      <w:proofErr w:type="spellEnd"/>
      <w:r w:rsidR="003F4C0D">
        <w:t xml:space="preserve"> </w:t>
      </w:r>
      <w:proofErr w:type="spellStart"/>
      <w:r w:rsidR="003F4C0D">
        <w:t>phương</w:t>
      </w:r>
      <w:proofErr w:type="spellEnd"/>
      <w:r w:rsidR="003F4C0D">
        <w:t xml:space="preserve"> </w:t>
      </w:r>
      <w:proofErr w:type="spellStart"/>
      <w:r w:rsidR="003F4C0D">
        <w:t>pháp</w:t>
      </w:r>
      <w:proofErr w:type="spellEnd"/>
      <w:r>
        <w:t xml:space="preserve"> Bayesian Machine Learning </w:t>
      </w:r>
      <w:proofErr w:type="spellStart"/>
      <w:r>
        <w:t>để</w:t>
      </w:r>
      <w:proofErr w:type="spellEnd"/>
      <w:r>
        <w:t xml:space="preserve"> model </w:t>
      </w:r>
      <w:proofErr w:type="spellStart"/>
      <w:r>
        <w:t>các</w:t>
      </w:r>
      <w:proofErr w:type="spellEnd"/>
      <w:r>
        <w:t xml:space="preserve"> distribution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2704BC7" w14:textId="4AF8ADAA" w:rsidR="003F4C0D" w:rsidRDefault="00BE0574" w:rsidP="003F4C0D">
      <w:pPr>
        <w:rPr>
          <w:b/>
          <w:bCs/>
        </w:rPr>
      </w:pPr>
      <w:r>
        <w:rPr>
          <w:b/>
          <w:bCs/>
        </w:rPr>
        <w:t>3</w:t>
      </w:r>
      <w:r w:rsidR="0084551C">
        <w:rPr>
          <w:b/>
          <w:bCs/>
        </w:rPr>
        <w:t>, Stochastic model methodology</w:t>
      </w:r>
    </w:p>
    <w:p w14:paraId="7700F370" w14:textId="74E8F6F8" w:rsidR="00F72DB5" w:rsidRPr="00BE0574" w:rsidRDefault="003F4C0D" w:rsidP="003F4C0D">
      <w:r>
        <w:rPr>
          <w:b/>
          <w:bCs/>
        </w:rPr>
        <w:tab/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tang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Markov state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probability transition matrix.</w:t>
      </w:r>
      <w:bookmarkStart w:id="0" w:name="_GoBack"/>
      <w:bookmarkEnd w:id="0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 w:rsidR="00C82FAB">
        <w:t>trong</w:t>
      </w:r>
      <w:proofErr w:type="spellEnd"/>
      <w:r w:rsidR="00C82FAB">
        <w:t xml:space="preserve"> </w:t>
      </w:r>
      <w:proofErr w:type="spellStart"/>
      <w:r w:rsidR="00C82FAB">
        <w:t>sách</w:t>
      </w:r>
      <w:proofErr w:type="spellEnd"/>
      <w:r w:rsidR="00C82FAB">
        <w:t xml:space="preserve"> </w:t>
      </w:r>
      <w:proofErr w:type="spellStart"/>
      <w:r w:rsidR="00C82FAB">
        <w:t>chỉ</w:t>
      </w:r>
      <w:proofErr w:type="spellEnd"/>
      <w:r w:rsidR="00C82FAB">
        <w:t xml:space="preserve"> </w:t>
      </w:r>
      <w:proofErr w:type="spellStart"/>
      <w:r w:rsidR="00C82FAB">
        <w:t>đề</w:t>
      </w:r>
      <w:proofErr w:type="spellEnd"/>
      <w:r w:rsidR="00C82FAB">
        <w:t xml:space="preserve"> </w:t>
      </w:r>
      <w:proofErr w:type="spellStart"/>
      <w:r w:rsidR="00C82FAB">
        <w:t>cập</w:t>
      </w:r>
      <w:proofErr w:type="spellEnd"/>
      <w:r w:rsidR="00C82FAB">
        <w:t xml:space="preserve"> SMM </w:t>
      </w:r>
      <w:proofErr w:type="spellStart"/>
      <w:r w:rsidR="00C82FAB">
        <w:t>cho</w:t>
      </w:r>
      <w:proofErr w:type="spellEnd"/>
      <w:r w:rsidR="00C82FAB">
        <w:t xml:space="preserve"> </w:t>
      </w:r>
      <w:proofErr w:type="spellStart"/>
      <w:r w:rsidR="00C82FAB">
        <w:t>các</w:t>
      </w:r>
      <w:proofErr w:type="spellEnd"/>
      <w:r w:rsidR="00C82FAB">
        <w:t xml:space="preserve"> </w:t>
      </w:r>
      <w:proofErr w:type="spellStart"/>
      <w:r w:rsidR="00C82FAB">
        <w:t>mô</w:t>
      </w:r>
      <w:proofErr w:type="spellEnd"/>
      <w:r w:rsidR="00C82FAB">
        <w:t xml:space="preserve"> </w:t>
      </w:r>
      <w:proofErr w:type="spellStart"/>
      <w:r w:rsidR="00C82FAB">
        <w:t>hình</w:t>
      </w:r>
      <w:proofErr w:type="spellEnd"/>
      <w:r w:rsidR="00C82FAB">
        <w:t xml:space="preserve"> </w:t>
      </w:r>
      <w:proofErr w:type="spellStart"/>
      <w:r w:rsidR="00C82FAB">
        <w:t>cơ</w:t>
      </w:r>
      <w:proofErr w:type="spellEnd"/>
      <w:r w:rsidR="00C82FAB">
        <w:t xml:space="preserve"> </w:t>
      </w:r>
      <w:proofErr w:type="spellStart"/>
      <w:r w:rsidR="00C82FAB">
        <w:t>bản</w:t>
      </w:r>
      <w:proofErr w:type="spellEnd"/>
      <w:r w:rsidR="00C82FAB">
        <w:t xml:space="preserve"> </w:t>
      </w:r>
      <w:proofErr w:type="spellStart"/>
      <w:r w:rsidR="00C82FAB">
        <w:t>như</w:t>
      </w:r>
      <w:proofErr w:type="spellEnd"/>
      <w:r w:rsidR="00C82FAB">
        <w:t xml:space="preserve"> SIR </w:t>
      </w:r>
      <w:proofErr w:type="spellStart"/>
      <w:r w:rsidR="00C82FAB">
        <w:t>hoặc</w:t>
      </w:r>
      <w:proofErr w:type="spellEnd"/>
      <w:r w:rsidR="00C82FAB">
        <w:t xml:space="preserve"> SEIR</w:t>
      </w:r>
      <w:r w:rsidR="00F72DB5">
        <w:t xml:space="preserve"> (</w:t>
      </w:r>
      <w:proofErr w:type="spellStart"/>
      <w:r w:rsidR="00F72DB5">
        <w:t>đây</w:t>
      </w:r>
      <w:proofErr w:type="spellEnd"/>
      <w:r w:rsidR="00F72DB5">
        <w:t xml:space="preserve"> </w:t>
      </w:r>
      <w:proofErr w:type="spellStart"/>
      <w:r w:rsidR="00F72DB5">
        <w:t>cũng</w:t>
      </w:r>
      <w:proofErr w:type="spellEnd"/>
      <w:r w:rsidR="00F72DB5">
        <w:t xml:space="preserve"> </w:t>
      </w:r>
      <w:proofErr w:type="spellStart"/>
      <w:r w:rsidR="00F72DB5">
        <w:t>là</w:t>
      </w:r>
      <w:proofErr w:type="spellEnd"/>
      <w:r w:rsidR="00F72DB5">
        <w:t xml:space="preserve"> </w:t>
      </w:r>
      <w:proofErr w:type="spellStart"/>
      <w:r w:rsidR="00F72DB5">
        <w:t>phương</w:t>
      </w:r>
      <w:proofErr w:type="spellEnd"/>
      <w:r w:rsidR="00F72DB5">
        <w:t xml:space="preserve"> </w:t>
      </w:r>
      <w:proofErr w:type="spellStart"/>
      <w:r w:rsidR="00F72DB5">
        <w:t>pháp</w:t>
      </w:r>
      <w:proofErr w:type="spellEnd"/>
      <w:r w:rsidR="00F72DB5">
        <w:t xml:space="preserve"> </w:t>
      </w:r>
      <w:proofErr w:type="spellStart"/>
      <w:r w:rsidR="00F72DB5">
        <w:t>nhiều</w:t>
      </w:r>
      <w:proofErr w:type="spellEnd"/>
      <w:r w:rsidR="00F72DB5">
        <w:t xml:space="preserve"> </w:t>
      </w:r>
      <w:proofErr w:type="spellStart"/>
      <w:r w:rsidR="00F72DB5">
        <w:t>nước</w:t>
      </w:r>
      <w:proofErr w:type="spellEnd"/>
      <w:r w:rsidR="00F72DB5">
        <w:t xml:space="preserve"> </w:t>
      </w:r>
      <w:proofErr w:type="spellStart"/>
      <w:r w:rsidR="00F72DB5">
        <w:t>trên</w:t>
      </w:r>
      <w:proofErr w:type="spellEnd"/>
      <w:r w:rsidR="00F72DB5">
        <w:t xml:space="preserve"> </w:t>
      </w:r>
      <w:proofErr w:type="spellStart"/>
      <w:r w:rsidR="00F72DB5">
        <w:t>thế</w:t>
      </w:r>
      <w:proofErr w:type="spellEnd"/>
      <w:r w:rsidR="00F72DB5">
        <w:t xml:space="preserve"> </w:t>
      </w:r>
      <w:proofErr w:type="spellStart"/>
      <w:r w:rsidR="00F72DB5">
        <w:t>giới</w:t>
      </w:r>
      <w:proofErr w:type="spellEnd"/>
      <w:r w:rsidR="00F72DB5">
        <w:t xml:space="preserve"> </w:t>
      </w:r>
      <w:proofErr w:type="spellStart"/>
      <w:r w:rsidR="00BB452C">
        <w:t>đã</w:t>
      </w:r>
      <w:proofErr w:type="spellEnd"/>
      <w:r w:rsidR="00F72DB5">
        <w:t xml:space="preserve"> </w:t>
      </w:r>
      <w:proofErr w:type="spellStart"/>
      <w:r w:rsidR="00F72DB5">
        <w:t>áp</w:t>
      </w:r>
      <w:proofErr w:type="spellEnd"/>
      <w:r w:rsidR="00F72DB5">
        <w:t xml:space="preserve"> </w:t>
      </w:r>
      <w:proofErr w:type="spellStart"/>
      <w:r w:rsidR="00F72DB5">
        <w:t>dụng</w:t>
      </w:r>
      <w:proofErr w:type="spellEnd"/>
      <w:r w:rsidR="00F72DB5">
        <w:t xml:space="preserve">). </w:t>
      </w:r>
      <w:proofErr w:type="spellStart"/>
      <w:r w:rsidR="00F72DB5">
        <w:t>Những</w:t>
      </w:r>
      <w:proofErr w:type="spellEnd"/>
      <w:r w:rsidR="00F72DB5">
        <w:t xml:space="preserve"> </w:t>
      </w:r>
      <w:proofErr w:type="spellStart"/>
      <w:r w:rsidR="00F72DB5">
        <w:t>mô</w:t>
      </w:r>
      <w:proofErr w:type="spellEnd"/>
      <w:r w:rsidR="00F72DB5">
        <w:t xml:space="preserve"> </w:t>
      </w:r>
      <w:proofErr w:type="spellStart"/>
      <w:r w:rsidR="00F72DB5">
        <w:t>hình</w:t>
      </w:r>
      <w:proofErr w:type="spellEnd"/>
      <w:r w:rsidR="00F72DB5">
        <w:t xml:space="preserve"> </w:t>
      </w:r>
      <w:proofErr w:type="spellStart"/>
      <w:r w:rsidR="00F72DB5">
        <w:t>phức</w:t>
      </w:r>
      <w:proofErr w:type="spellEnd"/>
      <w:r w:rsidR="00F72DB5">
        <w:t xml:space="preserve"> </w:t>
      </w:r>
      <w:proofErr w:type="spellStart"/>
      <w:r w:rsidR="00F72DB5">
        <w:t>tạp</w:t>
      </w:r>
      <w:proofErr w:type="spellEnd"/>
      <w:r w:rsidR="00F72DB5">
        <w:t xml:space="preserve"> </w:t>
      </w:r>
      <w:proofErr w:type="spellStart"/>
      <w:r w:rsidR="00F72DB5">
        <w:t>hơn</w:t>
      </w:r>
      <w:proofErr w:type="spellEnd"/>
      <w:r w:rsidR="00F72DB5">
        <w:t xml:space="preserve"> </w:t>
      </w:r>
      <w:proofErr w:type="spellStart"/>
      <w:r w:rsidR="00F72DB5">
        <w:t>thì</w:t>
      </w:r>
      <w:proofErr w:type="spellEnd"/>
      <w:r w:rsidR="00F72DB5">
        <w:t xml:space="preserve"> </w:t>
      </w:r>
      <w:proofErr w:type="spellStart"/>
      <w:r w:rsidR="00F72DB5">
        <w:t>cách</w:t>
      </w:r>
      <w:proofErr w:type="spellEnd"/>
      <w:r w:rsidR="00F72DB5">
        <w:t xml:space="preserve"> simulate </w:t>
      </w:r>
      <w:proofErr w:type="spellStart"/>
      <w:r w:rsidR="00F72DB5">
        <w:t>được</w:t>
      </w:r>
      <w:proofErr w:type="spellEnd"/>
      <w:r w:rsidR="00F72DB5">
        <w:t xml:space="preserve"> </w:t>
      </w:r>
      <w:proofErr w:type="spellStart"/>
      <w:r w:rsidR="00F72DB5">
        <w:t>đề</w:t>
      </w:r>
      <w:proofErr w:type="spellEnd"/>
      <w:r w:rsidR="00F72DB5">
        <w:t xml:space="preserve"> </w:t>
      </w:r>
      <w:proofErr w:type="spellStart"/>
      <w:r w:rsidR="00F72DB5">
        <w:t>cập</w:t>
      </w:r>
      <w:proofErr w:type="spellEnd"/>
      <w:r w:rsidR="00F72DB5">
        <w:t xml:space="preserve"> </w:t>
      </w:r>
      <w:proofErr w:type="spellStart"/>
      <w:r w:rsidR="00F72DB5">
        <w:t>đến</w:t>
      </w:r>
      <w:proofErr w:type="spellEnd"/>
      <w:r w:rsidR="00F72DB5">
        <w:t xml:space="preserve"> </w:t>
      </w:r>
      <w:proofErr w:type="spellStart"/>
      <w:r w:rsidR="00F72DB5">
        <w:t>trong</w:t>
      </w:r>
      <w:proofErr w:type="spellEnd"/>
      <w:r w:rsidR="00F72DB5">
        <w:t xml:space="preserve"> </w:t>
      </w:r>
      <w:proofErr w:type="spellStart"/>
      <w:r w:rsidR="00F72DB5">
        <w:t>các</w:t>
      </w:r>
      <w:proofErr w:type="spellEnd"/>
      <w:r w:rsidR="00F72DB5">
        <w:t xml:space="preserve"> </w:t>
      </w:r>
      <w:proofErr w:type="spellStart"/>
      <w:r w:rsidR="00F72DB5">
        <w:t>bài</w:t>
      </w:r>
      <w:proofErr w:type="spellEnd"/>
      <w:r w:rsidR="00F72DB5">
        <w:t xml:space="preserve"> </w:t>
      </w:r>
      <w:proofErr w:type="spellStart"/>
      <w:r w:rsidR="00F72DB5">
        <w:t>báo</w:t>
      </w:r>
      <w:proofErr w:type="spellEnd"/>
      <w:r w:rsidR="00F72DB5">
        <w:t xml:space="preserve"> </w:t>
      </w:r>
      <w:proofErr w:type="spellStart"/>
      <w:r w:rsidR="00F72DB5">
        <w:t>ngoài</w:t>
      </w:r>
      <w:proofErr w:type="spellEnd"/>
      <w:r w:rsidR="00F72DB5">
        <w:t xml:space="preserve"> ta </w:t>
      </w:r>
      <w:proofErr w:type="spellStart"/>
      <w:r w:rsidR="00F72DB5">
        <w:t>có</w:t>
      </w:r>
      <w:proofErr w:type="spellEnd"/>
      <w:r w:rsidR="00F72DB5">
        <w:t xml:space="preserve"> </w:t>
      </w:r>
      <w:proofErr w:type="spellStart"/>
      <w:r w:rsidR="00F72DB5">
        <w:t>thể</w:t>
      </w:r>
      <w:proofErr w:type="spellEnd"/>
      <w:r w:rsidR="00F72DB5">
        <w:t xml:space="preserve"> </w:t>
      </w:r>
      <w:proofErr w:type="spellStart"/>
      <w:r w:rsidR="00F72DB5">
        <w:t>tham</w:t>
      </w:r>
      <w:proofErr w:type="spellEnd"/>
      <w:r w:rsidR="00F72DB5">
        <w:t xml:space="preserve"> </w:t>
      </w:r>
      <w:proofErr w:type="spellStart"/>
      <w:r w:rsidR="00F72DB5">
        <w:t>khảo</w:t>
      </w:r>
      <w:proofErr w:type="spellEnd"/>
      <w:r w:rsidR="00F72DB5">
        <w:t xml:space="preserve"> (SEQIJR:</w:t>
      </w:r>
      <w:r w:rsidR="00F72DB5" w:rsidRPr="00F72DB5">
        <w:t xml:space="preserve"> </w:t>
      </w:r>
      <w:hyperlink r:id="rId15" w:tgtFrame="_blank" w:tooltip="Persistent link using digital object identifier" w:history="1">
        <w:r w:rsidR="001B713C"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https://doi.org/10.1016/j.matcom.2017.10.006</w:t>
        </w:r>
      </w:hyperlink>
      <w:r w:rsidR="001B713C">
        <w:t xml:space="preserve"> ); </w:t>
      </w:r>
      <w:r w:rsidR="00F72DB5">
        <w:t xml:space="preserve">(SEIQR: </w:t>
      </w:r>
      <w:hyperlink r:id="rId16" w:history="1">
        <w:r w:rsidR="00F72DB5">
          <w:rPr>
            <w:rStyle w:val="Hyperlink"/>
          </w:rPr>
          <w:t>https://www.hindawi.com/journals/cmmm/2018/7873902/</w:t>
        </w:r>
      </w:hyperlink>
      <w:r w:rsidR="00F72DB5">
        <w:t xml:space="preserve">). </w:t>
      </w:r>
    </w:p>
    <w:sectPr w:rsidR="00F72DB5" w:rsidRPr="00BE0574" w:rsidSect="007E4127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927"/>
    <w:multiLevelType w:val="hybridMultilevel"/>
    <w:tmpl w:val="A41EB80C"/>
    <w:lvl w:ilvl="0" w:tplc="64966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5E2075"/>
    <w:multiLevelType w:val="hybridMultilevel"/>
    <w:tmpl w:val="C8060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zMwNjMyNjcwtjBU0lEKTi0uzszPAykwrAUAoP/bVSwAAAA="/>
  </w:docVars>
  <w:rsids>
    <w:rsidRoot w:val="001E6443"/>
    <w:rsid w:val="000050CC"/>
    <w:rsid w:val="001B713C"/>
    <w:rsid w:val="001E6443"/>
    <w:rsid w:val="0026597D"/>
    <w:rsid w:val="002834B4"/>
    <w:rsid w:val="0032155B"/>
    <w:rsid w:val="00353C6F"/>
    <w:rsid w:val="003F4C0D"/>
    <w:rsid w:val="005F3057"/>
    <w:rsid w:val="006B191C"/>
    <w:rsid w:val="00774EB0"/>
    <w:rsid w:val="007A7A8C"/>
    <w:rsid w:val="007E4127"/>
    <w:rsid w:val="0084551C"/>
    <w:rsid w:val="008E6115"/>
    <w:rsid w:val="0091152A"/>
    <w:rsid w:val="00982CE2"/>
    <w:rsid w:val="009F780C"/>
    <w:rsid w:val="00AD3004"/>
    <w:rsid w:val="00AE7820"/>
    <w:rsid w:val="00B24657"/>
    <w:rsid w:val="00B368E7"/>
    <w:rsid w:val="00BB452C"/>
    <w:rsid w:val="00BE0574"/>
    <w:rsid w:val="00C4552A"/>
    <w:rsid w:val="00C82FAB"/>
    <w:rsid w:val="00DE1ADD"/>
    <w:rsid w:val="00E95CF5"/>
    <w:rsid w:val="00EE0DC3"/>
    <w:rsid w:val="00F70E97"/>
    <w:rsid w:val="00F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51C7"/>
  <w15:chartTrackingRefBased/>
  <w15:docId w15:val="{303E669F-3E2F-4AAA-B82B-5D337F7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5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300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72D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indawi.com/journals/cmmm/2018/7873902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oi-org.ezproxy.liberty.edu/10.1016/j.matcom.2017.10.006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ngo</dc:creator>
  <cp:keywords/>
  <dc:description/>
  <cp:lastModifiedBy>duong ngo</cp:lastModifiedBy>
  <cp:revision>2</cp:revision>
  <dcterms:created xsi:type="dcterms:W3CDTF">2020-03-25T13:18:00Z</dcterms:created>
  <dcterms:modified xsi:type="dcterms:W3CDTF">2020-03-25T13:18:00Z</dcterms:modified>
</cp:coreProperties>
</file>