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D7E2F" w14:textId="77777777" w:rsidR="004B7ECD" w:rsidRPr="00072B42" w:rsidRDefault="004B7ECD" w:rsidP="00C2086E">
      <w:pPr>
        <w:spacing w:line="240" w:lineRule="auto"/>
        <w:jc w:val="both"/>
        <w:rPr>
          <w:rFonts w:ascii="Times New Roman" w:hAnsi="Times New Roman" w:cs="Times New Roman"/>
          <w:sz w:val="20"/>
          <w:szCs w:val="20"/>
        </w:rPr>
      </w:pPr>
    </w:p>
    <w:p w14:paraId="120DEC20" w14:textId="77777777" w:rsidR="004B7ECD" w:rsidRPr="00072B42" w:rsidRDefault="004B7ECD" w:rsidP="00C2086E">
      <w:pPr>
        <w:spacing w:line="240" w:lineRule="auto"/>
        <w:jc w:val="both"/>
        <w:rPr>
          <w:rFonts w:ascii="Times New Roman" w:hAnsi="Times New Roman" w:cs="Times New Roman"/>
          <w:sz w:val="20"/>
          <w:szCs w:val="20"/>
        </w:rPr>
      </w:pPr>
    </w:p>
    <w:p w14:paraId="113C6873" w14:textId="77777777" w:rsidR="004B7ECD" w:rsidRPr="00072B42" w:rsidRDefault="004B7ECD" w:rsidP="00C2086E">
      <w:pPr>
        <w:spacing w:line="240" w:lineRule="auto"/>
        <w:jc w:val="both"/>
        <w:rPr>
          <w:rFonts w:ascii="Times New Roman" w:hAnsi="Times New Roman" w:cs="Times New Roman"/>
          <w:sz w:val="20"/>
          <w:szCs w:val="20"/>
        </w:rPr>
      </w:pPr>
    </w:p>
    <w:p w14:paraId="1F330F76" w14:textId="77777777" w:rsidR="004B7ECD" w:rsidRPr="00072B42" w:rsidRDefault="004B7ECD" w:rsidP="00C2086E">
      <w:pPr>
        <w:spacing w:line="240" w:lineRule="auto"/>
        <w:jc w:val="both"/>
        <w:rPr>
          <w:rFonts w:ascii="Times New Roman" w:hAnsi="Times New Roman" w:cs="Times New Roman"/>
          <w:sz w:val="20"/>
          <w:szCs w:val="20"/>
        </w:rPr>
      </w:pPr>
    </w:p>
    <w:p w14:paraId="5B7D0FC2" w14:textId="77777777" w:rsidR="004B7ECD" w:rsidRPr="00072B42" w:rsidRDefault="004B7ECD" w:rsidP="00C2086E">
      <w:pPr>
        <w:spacing w:line="240" w:lineRule="auto"/>
        <w:jc w:val="both"/>
        <w:rPr>
          <w:rFonts w:ascii="Times New Roman" w:hAnsi="Times New Roman" w:cs="Times New Roman"/>
          <w:sz w:val="20"/>
          <w:szCs w:val="20"/>
        </w:rPr>
      </w:pPr>
    </w:p>
    <w:p w14:paraId="0E5FE3ED" w14:textId="77777777" w:rsidR="004B7ECD" w:rsidRPr="00072B42" w:rsidRDefault="004B7ECD" w:rsidP="00C2086E">
      <w:pPr>
        <w:spacing w:line="240" w:lineRule="auto"/>
        <w:jc w:val="both"/>
        <w:rPr>
          <w:rFonts w:ascii="Times New Roman" w:hAnsi="Times New Roman" w:cs="Times New Roman"/>
          <w:sz w:val="20"/>
          <w:szCs w:val="20"/>
        </w:rPr>
      </w:pPr>
    </w:p>
    <w:p w14:paraId="16043FD1" w14:textId="77777777" w:rsidR="004B7ECD" w:rsidRPr="00072B42" w:rsidRDefault="004B7ECD" w:rsidP="00C2086E">
      <w:pPr>
        <w:spacing w:line="240" w:lineRule="auto"/>
        <w:jc w:val="both"/>
        <w:rPr>
          <w:rFonts w:ascii="Times New Roman" w:hAnsi="Times New Roman" w:cs="Times New Roman"/>
          <w:sz w:val="20"/>
          <w:szCs w:val="20"/>
        </w:rPr>
      </w:pPr>
    </w:p>
    <w:p w14:paraId="717C7465" w14:textId="77777777" w:rsidR="004B7ECD" w:rsidRPr="00072B42" w:rsidRDefault="004B7ECD" w:rsidP="00C2086E">
      <w:pPr>
        <w:spacing w:line="240" w:lineRule="auto"/>
        <w:jc w:val="both"/>
        <w:rPr>
          <w:rFonts w:ascii="Times New Roman" w:hAnsi="Times New Roman" w:cs="Times New Roman"/>
          <w:sz w:val="20"/>
          <w:szCs w:val="20"/>
        </w:rPr>
      </w:pPr>
    </w:p>
    <w:p w14:paraId="28A95E22" w14:textId="77777777" w:rsidR="004B7ECD" w:rsidRPr="00072B42" w:rsidRDefault="004B7ECD" w:rsidP="00C2086E">
      <w:pPr>
        <w:spacing w:line="240" w:lineRule="auto"/>
        <w:jc w:val="both"/>
        <w:rPr>
          <w:rFonts w:ascii="Times New Roman" w:hAnsi="Times New Roman" w:cs="Times New Roman"/>
          <w:sz w:val="20"/>
          <w:szCs w:val="20"/>
        </w:rPr>
      </w:pPr>
    </w:p>
    <w:p w14:paraId="2EE0FB48" w14:textId="77777777" w:rsidR="004B7ECD" w:rsidRPr="00072B42" w:rsidRDefault="004B7ECD" w:rsidP="00C2086E">
      <w:pPr>
        <w:spacing w:line="240" w:lineRule="auto"/>
        <w:jc w:val="both"/>
        <w:rPr>
          <w:rFonts w:ascii="Times New Roman" w:hAnsi="Times New Roman" w:cs="Times New Roman"/>
          <w:sz w:val="20"/>
          <w:szCs w:val="20"/>
        </w:rPr>
      </w:pPr>
    </w:p>
    <w:p w14:paraId="21F7F1EC" w14:textId="77777777" w:rsidR="004B7ECD" w:rsidRPr="00072B42" w:rsidRDefault="004B7ECD" w:rsidP="00C2086E">
      <w:pPr>
        <w:spacing w:line="240" w:lineRule="auto"/>
        <w:jc w:val="both"/>
        <w:rPr>
          <w:rFonts w:ascii="Times New Roman" w:hAnsi="Times New Roman" w:cs="Times New Roman"/>
          <w:sz w:val="20"/>
          <w:szCs w:val="20"/>
        </w:rPr>
      </w:pPr>
    </w:p>
    <w:p w14:paraId="297E8331" w14:textId="77777777" w:rsidR="004B7ECD" w:rsidRPr="00072B42" w:rsidRDefault="004B7ECD" w:rsidP="00C2086E">
      <w:pPr>
        <w:spacing w:line="240" w:lineRule="auto"/>
        <w:jc w:val="both"/>
        <w:rPr>
          <w:rFonts w:ascii="Times New Roman" w:hAnsi="Times New Roman" w:cs="Times New Roman"/>
          <w:sz w:val="20"/>
          <w:szCs w:val="20"/>
        </w:rPr>
      </w:pPr>
    </w:p>
    <w:p w14:paraId="251B57CD" w14:textId="77777777" w:rsidR="004B7ECD" w:rsidRPr="00072B42" w:rsidRDefault="004B7ECD" w:rsidP="00C2086E">
      <w:pPr>
        <w:spacing w:line="240" w:lineRule="auto"/>
        <w:jc w:val="both"/>
        <w:rPr>
          <w:rFonts w:ascii="Times New Roman" w:hAnsi="Times New Roman" w:cs="Times New Roman"/>
          <w:sz w:val="20"/>
          <w:szCs w:val="20"/>
        </w:rPr>
      </w:pPr>
    </w:p>
    <w:p w14:paraId="287413F7" w14:textId="77777777" w:rsidR="004B7ECD" w:rsidRPr="00072B42" w:rsidRDefault="004B7ECD" w:rsidP="00C2086E">
      <w:pPr>
        <w:spacing w:line="240" w:lineRule="auto"/>
        <w:jc w:val="both"/>
        <w:rPr>
          <w:rFonts w:ascii="Times New Roman" w:hAnsi="Times New Roman" w:cs="Times New Roman"/>
          <w:sz w:val="20"/>
          <w:szCs w:val="20"/>
        </w:rPr>
      </w:pPr>
    </w:p>
    <w:p w14:paraId="03A578D2" w14:textId="77777777" w:rsidR="004B7ECD" w:rsidRPr="00072B42" w:rsidRDefault="004B7ECD" w:rsidP="00C2086E">
      <w:pPr>
        <w:spacing w:line="240" w:lineRule="auto"/>
        <w:jc w:val="both"/>
        <w:rPr>
          <w:rFonts w:ascii="Times New Roman" w:hAnsi="Times New Roman" w:cs="Times New Roman"/>
          <w:sz w:val="20"/>
          <w:szCs w:val="20"/>
        </w:rPr>
      </w:pPr>
    </w:p>
    <w:p w14:paraId="17434611" w14:textId="77777777" w:rsidR="004B7ECD" w:rsidRPr="00072B42" w:rsidRDefault="004B7ECD" w:rsidP="00C2086E">
      <w:pPr>
        <w:spacing w:line="240" w:lineRule="auto"/>
        <w:jc w:val="both"/>
        <w:rPr>
          <w:rFonts w:ascii="Times New Roman" w:hAnsi="Times New Roman" w:cs="Times New Roman"/>
          <w:sz w:val="20"/>
          <w:szCs w:val="20"/>
        </w:rPr>
      </w:pPr>
    </w:p>
    <w:p w14:paraId="5E529144" w14:textId="77777777" w:rsidR="004B7ECD" w:rsidRPr="00072B42" w:rsidRDefault="004B7ECD" w:rsidP="00C2086E">
      <w:pPr>
        <w:spacing w:line="240" w:lineRule="auto"/>
        <w:jc w:val="both"/>
        <w:rPr>
          <w:rFonts w:ascii="Times New Roman" w:hAnsi="Times New Roman" w:cs="Times New Roman"/>
          <w:sz w:val="20"/>
          <w:szCs w:val="20"/>
        </w:rPr>
      </w:pPr>
    </w:p>
    <w:p w14:paraId="12DCCA27" w14:textId="77777777" w:rsidR="004B7ECD" w:rsidRPr="00072B42" w:rsidRDefault="004B7ECD" w:rsidP="00C2086E">
      <w:pPr>
        <w:spacing w:line="240" w:lineRule="auto"/>
        <w:jc w:val="both"/>
        <w:rPr>
          <w:rFonts w:ascii="Times New Roman" w:hAnsi="Times New Roman" w:cs="Times New Roman"/>
          <w:sz w:val="20"/>
          <w:szCs w:val="20"/>
        </w:rPr>
      </w:pPr>
    </w:p>
    <w:p w14:paraId="373D2D69" w14:textId="77777777" w:rsidR="004B7ECD" w:rsidRPr="00072B42" w:rsidRDefault="004B7ECD" w:rsidP="00C2086E">
      <w:pPr>
        <w:spacing w:line="240" w:lineRule="auto"/>
        <w:jc w:val="both"/>
        <w:rPr>
          <w:rFonts w:ascii="Times New Roman" w:hAnsi="Times New Roman" w:cs="Times New Roman"/>
          <w:sz w:val="20"/>
          <w:szCs w:val="20"/>
        </w:rPr>
      </w:pPr>
    </w:p>
    <w:p w14:paraId="4AE37A09" w14:textId="77777777" w:rsidR="004B7ECD" w:rsidRPr="00072B42" w:rsidRDefault="004B7ECD" w:rsidP="00C2086E">
      <w:pPr>
        <w:spacing w:line="240" w:lineRule="auto"/>
        <w:jc w:val="both"/>
        <w:rPr>
          <w:rFonts w:ascii="Times New Roman" w:hAnsi="Times New Roman" w:cs="Times New Roman"/>
          <w:sz w:val="20"/>
          <w:szCs w:val="20"/>
        </w:rPr>
      </w:pPr>
    </w:p>
    <w:p w14:paraId="4DC05D1F" w14:textId="77777777" w:rsidR="004B7ECD" w:rsidRPr="00072B42" w:rsidRDefault="004B7ECD" w:rsidP="00C2086E">
      <w:pPr>
        <w:spacing w:line="240" w:lineRule="auto"/>
        <w:jc w:val="both"/>
        <w:rPr>
          <w:rFonts w:ascii="Times New Roman" w:hAnsi="Times New Roman" w:cs="Times New Roman"/>
          <w:sz w:val="20"/>
          <w:szCs w:val="20"/>
        </w:rPr>
      </w:pPr>
    </w:p>
    <w:p w14:paraId="7C2EA82B" w14:textId="77777777" w:rsidR="004B7ECD" w:rsidRPr="00072B42" w:rsidRDefault="004B7ECD" w:rsidP="00C2086E">
      <w:pPr>
        <w:spacing w:line="240" w:lineRule="auto"/>
        <w:jc w:val="both"/>
        <w:rPr>
          <w:rFonts w:ascii="Times New Roman" w:hAnsi="Times New Roman" w:cs="Times New Roman"/>
          <w:sz w:val="20"/>
          <w:szCs w:val="20"/>
        </w:rPr>
      </w:pPr>
    </w:p>
    <w:p w14:paraId="1BD805FE" w14:textId="77777777" w:rsidR="004B7ECD" w:rsidRPr="00072B42" w:rsidRDefault="004B7ECD" w:rsidP="00C2086E">
      <w:pPr>
        <w:spacing w:line="240" w:lineRule="auto"/>
        <w:jc w:val="both"/>
        <w:rPr>
          <w:rFonts w:ascii="Times New Roman" w:hAnsi="Times New Roman" w:cs="Times New Roman"/>
          <w:sz w:val="20"/>
          <w:szCs w:val="20"/>
        </w:rPr>
      </w:pPr>
    </w:p>
    <w:p w14:paraId="1A3AEB84" w14:textId="77777777" w:rsidR="004B7ECD" w:rsidRPr="00072B42" w:rsidRDefault="004B7ECD" w:rsidP="00C2086E">
      <w:pPr>
        <w:spacing w:line="240" w:lineRule="auto"/>
        <w:jc w:val="both"/>
        <w:rPr>
          <w:rFonts w:ascii="Times New Roman" w:hAnsi="Times New Roman" w:cs="Times New Roman"/>
          <w:sz w:val="20"/>
          <w:szCs w:val="20"/>
        </w:rPr>
      </w:pPr>
    </w:p>
    <w:p w14:paraId="3962AC4B" w14:textId="77777777" w:rsidR="004B7ECD" w:rsidRPr="00072B42" w:rsidRDefault="004B7ECD" w:rsidP="00C2086E">
      <w:pPr>
        <w:spacing w:line="240" w:lineRule="auto"/>
        <w:jc w:val="both"/>
        <w:rPr>
          <w:rFonts w:ascii="Times New Roman" w:hAnsi="Times New Roman" w:cs="Times New Roman"/>
          <w:sz w:val="20"/>
          <w:szCs w:val="20"/>
        </w:rPr>
      </w:pPr>
    </w:p>
    <w:p w14:paraId="3DE6D03F" w14:textId="77777777" w:rsidR="004B7ECD" w:rsidRPr="00072B42" w:rsidRDefault="004B7ECD" w:rsidP="00C2086E">
      <w:pPr>
        <w:spacing w:line="240" w:lineRule="auto"/>
        <w:jc w:val="both"/>
        <w:rPr>
          <w:rFonts w:ascii="Times New Roman" w:hAnsi="Times New Roman" w:cs="Times New Roman"/>
          <w:sz w:val="20"/>
          <w:szCs w:val="20"/>
        </w:rPr>
      </w:pPr>
    </w:p>
    <w:p w14:paraId="64521469" w14:textId="77777777" w:rsidR="00C2086E" w:rsidRPr="00072B42" w:rsidRDefault="00C2086E" w:rsidP="00C2086E">
      <w:pPr>
        <w:spacing w:line="240" w:lineRule="auto"/>
        <w:jc w:val="both"/>
        <w:rPr>
          <w:rFonts w:ascii="Times New Roman" w:hAnsi="Times New Roman" w:cs="Times New Roman"/>
          <w:b/>
          <w:bCs/>
          <w:sz w:val="20"/>
          <w:szCs w:val="20"/>
        </w:rPr>
      </w:pPr>
    </w:p>
    <w:p w14:paraId="7F216519" w14:textId="77777777" w:rsidR="00C2086E" w:rsidRPr="00072B42" w:rsidRDefault="00C2086E" w:rsidP="00C2086E">
      <w:pPr>
        <w:spacing w:line="240" w:lineRule="auto"/>
        <w:jc w:val="both"/>
        <w:rPr>
          <w:rFonts w:ascii="Times New Roman" w:hAnsi="Times New Roman" w:cs="Times New Roman"/>
          <w:b/>
          <w:bCs/>
          <w:sz w:val="20"/>
          <w:szCs w:val="20"/>
        </w:rPr>
      </w:pPr>
    </w:p>
    <w:p w14:paraId="413947B7" w14:textId="77777777" w:rsidR="00C2086E" w:rsidRPr="00072B42" w:rsidRDefault="00C2086E" w:rsidP="00C2086E">
      <w:pPr>
        <w:spacing w:line="240" w:lineRule="auto"/>
        <w:jc w:val="both"/>
        <w:rPr>
          <w:rFonts w:ascii="Times New Roman" w:hAnsi="Times New Roman" w:cs="Times New Roman"/>
          <w:b/>
          <w:bCs/>
          <w:sz w:val="20"/>
          <w:szCs w:val="20"/>
        </w:rPr>
      </w:pPr>
    </w:p>
    <w:p w14:paraId="15E9F331" w14:textId="77777777" w:rsidR="00C2086E" w:rsidRPr="00072B42" w:rsidRDefault="00C2086E" w:rsidP="00C2086E">
      <w:pPr>
        <w:spacing w:line="240" w:lineRule="auto"/>
        <w:jc w:val="both"/>
        <w:rPr>
          <w:rFonts w:ascii="Times New Roman" w:hAnsi="Times New Roman" w:cs="Times New Roman"/>
          <w:b/>
          <w:bCs/>
          <w:sz w:val="20"/>
          <w:szCs w:val="20"/>
        </w:rPr>
      </w:pPr>
    </w:p>
    <w:p w14:paraId="29065234" w14:textId="77777777" w:rsidR="00C2086E" w:rsidRPr="00072B42" w:rsidRDefault="00C2086E">
      <w:pPr>
        <w:rPr>
          <w:rFonts w:ascii="Times New Roman" w:hAnsi="Times New Roman" w:cs="Times New Roman"/>
          <w:b/>
          <w:bCs/>
          <w:sz w:val="20"/>
          <w:szCs w:val="20"/>
        </w:rPr>
      </w:pPr>
      <w:r w:rsidRPr="00072B42">
        <w:rPr>
          <w:rFonts w:ascii="Times New Roman" w:hAnsi="Times New Roman" w:cs="Times New Roman"/>
          <w:b/>
          <w:bCs/>
          <w:sz w:val="20"/>
          <w:szCs w:val="20"/>
        </w:rPr>
        <w:br w:type="page"/>
      </w:r>
    </w:p>
    <w:p w14:paraId="0CFFF5F5" w14:textId="77777777" w:rsidR="00C2086E" w:rsidRPr="00072B42" w:rsidRDefault="00C2086E" w:rsidP="00C2086E">
      <w:pPr>
        <w:spacing w:line="240" w:lineRule="auto"/>
        <w:jc w:val="both"/>
        <w:rPr>
          <w:rFonts w:ascii="Times New Roman" w:hAnsi="Times New Roman" w:cs="Times New Roman"/>
          <w:b/>
          <w:bCs/>
          <w:sz w:val="20"/>
          <w:szCs w:val="20"/>
        </w:rPr>
      </w:pPr>
    </w:p>
    <w:p w14:paraId="4C927DBB" w14:textId="77777777" w:rsidR="00C2086E" w:rsidRPr="00072B42" w:rsidRDefault="00C2086E">
      <w:pPr>
        <w:rPr>
          <w:rFonts w:ascii="Times New Roman" w:hAnsi="Times New Roman" w:cs="Times New Roman"/>
          <w:b/>
          <w:bCs/>
          <w:sz w:val="20"/>
          <w:szCs w:val="20"/>
        </w:rPr>
      </w:pPr>
      <w:r w:rsidRPr="00072B42">
        <w:rPr>
          <w:rFonts w:ascii="Times New Roman" w:hAnsi="Times New Roman" w:cs="Times New Roman"/>
          <w:b/>
          <w:bCs/>
          <w:sz w:val="20"/>
          <w:szCs w:val="20"/>
        </w:rPr>
        <w:br w:type="page"/>
      </w:r>
    </w:p>
    <w:p w14:paraId="741DB6B2" w14:textId="528B7EF6" w:rsidR="004B7ECD" w:rsidRPr="00072B42" w:rsidRDefault="004B7ECD" w:rsidP="00C2086E">
      <w:pPr>
        <w:spacing w:line="240" w:lineRule="auto"/>
        <w:jc w:val="both"/>
        <w:rPr>
          <w:rFonts w:ascii="Times New Roman" w:hAnsi="Times New Roman" w:cs="Times New Roman"/>
          <w:sz w:val="20"/>
          <w:szCs w:val="20"/>
        </w:rPr>
      </w:pPr>
      <w:r w:rsidRPr="00072B42">
        <w:rPr>
          <w:rFonts w:ascii="Times New Roman" w:hAnsi="Times New Roman" w:cs="Times New Roman"/>
          <w:b/>
          <w:bCs/>
          <w:sz w:val="20"/>
          <w:szCs w:val="20"/>
        </w:rPr>
        <w:lastRenderedPageBreak/>
        <w:t>Abstract—</w:t>
      </w:r>
      <w:r w:rsidRPr="00072B42">
        <w:rPr>
          <w:rFonts w:ascii="Times New Roman" w:hAnsi="Times New Roman" w:cs="Times New Roman"/>
          <w:sz w:val="20"/>
          <w:szCs w:val="20"/>
        </w:rPr>
        <w:t>The commercialization of Power-to-Liquid (</w:t>
      </w:r>
      <w:proofErr w:type="spellStart"/>
      <w:r w:rsidRPr="00072B42">
        <w:rPr>
          <w:rFonts w:ascii="Times New Roman" w:hAnsi="Times New Roman" w:cs="Times New Roman"/>
          <w:sz w:val="20"/>
          <w:szCs w:val="20"/>
        </w:rPr>
        <w:t>PtL</w:t>
      </w:r>
      <w:proofErr w:type="spellEnd"/>
      <w:r w:rsidRPr="00072B42">
        <w:rPr>
          <w:rFonts w:ascii="Times New Roman" w:hAnsi="Times New Roman" w:cs="Times New Roman"/>
          <w:sz w:val="20"/>
          <w:szCs w:val="20"/>
        </w:rPr>
        <w:t>) Sustainable Aviation Fuel (SAF) is primarily constrained by high capital expenditures (CAPEX) for synthesis infrastructure and volatile green hydrogen operating expenses (OPEX). This study executes a rigorous steady-state techno-economic analysis (TEA) of a syngas-to-SAF pilot facility to quantify thermodynamic limitations, carbon capture efficiency, and commercial scaling feasibility. Process modeling was conducted in Aspen Plus, integrating a high-temperature Reverse Water-Gas Shift (RWGS) reactor with a low-temperature Fischer-</w:t>
      </w:r>
      <w:proofErr w:type="spellStart"/>
      <w:r w:rsidRPr="00072B42">
        <w:rPr>
          <w:rFonts w:ascii="Times New Roman" w:hAnsi="Times New Roman" w:cs="Times New Roman"/>
          <w:sz w:val="20"/>
          <w:szCs w:val="20"/>
        </w:rPr>
        <w:t>Tropsch</w:t>
      </w:r>
      <w:proofErr w:type="spellEnd"/>
      <w:r w:rsidRPr="00072B42">
        <w:rPr>
          <w:rFonts w:ascii="Times New Roman" w:hAnsi="Times New Roman" w:cs="Times New Roman"/>
          <w:sz w:val="20"/>
          <w:szCs w:val="20"/>
        </w:rPr>
        <w:t xml:space="preserve"> (LTFT) synthesis loop. The Non-Random Two-Liquid (NRTL) property package, coupled with Henry’s Law, was implemented to accurately compute phase equilibria for highly polar aqueous mixtures, wastewater byproducts, and supercritical gases. n-Dodecane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12</m:t>
            </m:r>
          </m:sub>
        </m:sSub>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26</m:t>
            </m:r>
          </m:sub>
        </m:sSub>
      </m:oMath>
      <w:r w:rsidRPr="00072B42">
        <w:rPr>
          <w:rFonts w:ascii="Times New Roman" w:hAnsi="Times New Roman" w:cs="Times New Roman"/>
          <w:sz w:val="20"/>
          <w:szCs w:val="20"/>
        </w:rPr>
        <w:t>) served as the hydrocarbon proxy representing the middle-distillate kerosene range. While initial single-pass configurations yielded a baseline carbon efficiency of only 47.24%, multivariable optimization of a continuous unreacted tail-gas recycle loop established an optimal 5% purge fraction (95% gas recycle). This configuration mitigated inert accumulation while avoiding numerical matrix deadlocks during convergence. Based on a continuous feed of 100 kg/</w:t>
      </w:r>
      <w:proofErr w:type="spellStart"/>
      <w:r w:rsidRPr="00072B42">
        <w:rPr>
          <w:rFonts w:ascii="Times New Roman" w:hAnsi="Times New Roman" w:cs="Times New Roman"/>
          <w:sz w:val="20"/>
          <w:szCs w:val="20"/>
        </w:rPr>
        <w:t>hr</w:t>
      </w:r>
      <w:proofErr w:type="spellEnd"/>
      <w:r w:rsidRPr="00072B42">
        <w:rPr>
          <w:rFonts w:ascii="Times New Roman" w:hAnsi="Times New Roman" w:cs="Times New Roman"/>
          <w:sz w:val="20"/>
          <w:szCs w:val="20"/>
        </w:rPr>
        <w:t xml:space="preserve"> </w:t>
      </w:r>
      <m:oMath>
        <m:r>
          <w:rPr>
            <w:rFonts w:ascii="Cambria Math" w:hAnsi="Cambria Math" w:cs="Times New Roman"/>
            <w:sz w:val="20"/>
            <w:szCs w:val="20"/>
          </w:rPr>
          <m:t>C</m:t>
        </m:r>
        <m:sSub>
          <m:sSubPr>
            <m:ctrlPr>
              <w:rPr>
                <w:rFonts w:ascii="Cambria Math" w:hAnsi="Cambria Math" w:cs="Times New Roman"/>
                <w:i/>
                <w:sz w:val="20"/>
                <w:szCs w:val="20"/>
              </w:rPr>
            </m:ctrlPr>
          </m:sSubPr>
          <m:e>
            <m:r>
              <w:rPr>
                <w:rFonts w:ascii="Cambria Math" w:hAnsi="Cambria Math" w:cs="Times New Roman"/>
                <w:sz w:val="20"/>
                <w:szCs w:val="20"/>
              </w:rPr>
              <m:t>O</m:t>
            </m:r>
          </m:e>
          <m:sub>
            <m:r>
              <w:rPr>
                <w:rFonts w:ascii="Cambria Math" w:hAnsi="Cambria Math" w:cs="Times New Roman"/>
                <w:sz w:val="20"/>
                <w:szCs w:val="20"/>
              </w:rPr>
              <m:t>2</m:t>
            </m:r>
          </m:sub>
        </m:sSub>
      </m:oMath>
      <w:r w:rsidRPr="00072B42">
        <w:rPr>
          <w:rFonts w:ascii="Times New Roman" w:hAnsi="Times New Roman" w:cs="Times New Roman"/>
          <w:sz w:val="20"/>
          <w:szCs w:val="20"/>
        </w:rPr>
        <w:t>, the converged closed-loop simulation achieved a steady-state SAF yield of 31.31 kg/</w:t>
      </w:r>
      <w:proofErr w:type="spellStart"/>
      <w:r w:rsidRPr="00072B42">
        <w:rPr>
          <w:rFonts w:ascii="Times New Roman" w:hAnsi="Times New Roman" w:cs="Times New Roman"/>
          <w:sz w:val="20"/>
          <w:szCs w:val="20"/>
        </w:rPr>
        <w:t>hr</w:t>
      </w:r>
      <w:proofErr w:type="spellEnd"/>
      <w:r w:rsidRPr="00072B42">
        <w:rPr>
          <w:rFonts w:ascii="Times New Roman" w:hAnsi="Times New Roman" w:cs="Times New Roman"/>
          <w:sz w:val="20"/>
          <w:szCs w:val="20"/>
        </w:rPr>
        <w:t xml:space="preserve"> at an industrial purity of 99.97% by mass, successfully elevating the system's total carbon efficiency to 97.07%. Equipment sizing and economic evaluation established a baseline plant CAPEX of $5.38 million. Heat integration analysis via Aspen Energy Analyzer identified a thermal utility savings potential of 60.51%. Integrating a utility-scale renewable Power Purchase Agreement (PPA) at $0.02/kWh for the </w:t>
      </w:r>
      <w:proofErr w:type="spellStart"/>
      <w:r w:rsidRPr="00072B42">
        <w:rPr>
          <w:rFonts w:ascii="Times New Roman" w:hAnsi="Times New Roman" w:cs="Times New Roman"/>
          <w:sz w:val="20"/>
          <w:szCs w:val="20"/>
        </w:rPr>
        <w:t>electrolyzer</w:t>
      </w:r>
      <w:proofErr w:type="spellEnd"/>
      <w:r w:rsidRPr="00072B42">
        <w:rPr>
          <w:rFonts w:ascii="Times New Roman" w:hAnsi="Times New Roman" w:cs="Times New Roman"/>
          <w:sz w:val="20"/>
          <w:szCs w:val="20"/>
        </w:rPr>
        <w:t xml:space="preserve"> load maintained the annual pilot OPEX at $1.77 million, yielding a baseline Levelized Cost of Fuel (LCOF) of $9.59/kg. To project commercial viability, a financial model utilizing the Six-Tenths scaling algorithm was applied for a 100x capacity increase. By diluting fixed labor and capital overhead across a 25,000 metric ton annual production volume, the projected commercial LCOF dropped to $1.67/kg, confirming the economic competitiveness of scaled synthetic aviation fuels.</w:t>
      </w:r>
    </w:p>
    <w:p w14:paraId="399AC35A" w14:textId="77777777" w:rsidR="0089201A" w:rsidRPr="00072B42" w:rsidRDefault="0089201A" w:rsidP="0089201A">
      <w:pPr>
        <w:spacing w:line="240" w:lineRule="auto"/>
        <w:jc w:val="both"/>
        <w:rPr>
          <w:rFonts w:ascii="Times New Roman" w:hAnsi="Times New Roman" w:cs="Times New Roman"/>
          <w:b/>
          <w:bCs/>
        </w:rPr>
      </w:pPr>
      <w:r w:rsidRPr="00072B42">
        <w:rPr>
          <w:rFonts w:ascii="Times New Roman" w:hAnsi="Times New Roman" w:cs="Times New Roman"/>
          <w:b/>
          <w:bCs/>
        </w:rPr>
        <w:t>1. Introduction</w:t>
      </w:r>
    </w:p>
    <w:p w14:paraId="014513FD" w14:textId="77777777" w:rsidR="0089201A" w:rsidRPr="00072B42" w:rsidRDefault="0089201A" w:rsidP="0089201A">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The aviation sector’s transition toward carbon neutrality relies heavily on the deployment of Sustainable Aviation Fuel (SAF). Shifting from fossil fuels to synthetic SAF can reduce the lifecycle carbon footprint of aviation by up to 80%, physically decoupling the sector from crude oil and anchoring it directly to renewable energy infrastructure. The Power-to-Liquid (</w:t>
      </w:r>
      <w:proofErr w:type="spellStart"/>
      <w:r w:rsidRPr="00072B42">
        <w:rPr>
          <w:rFonts w:ascii="Times New Roman" w:hAnsi="Times New Roman" w:cs="Times New Roman"/>
          <w:sz w:val="20"/>
          <w:szCs w:val="20"/>
        </w:rPr>
        <w:t>PtL</w:t>
      </w:r>
      <w:proofErr w:type="spellEnd"/>
      <w:r w:rsidRPr="00072B42">
        <w:rPr>
          <w:rFonts w:ascii="Times New Roman" w:hAnsi="Times New Roman" w:cs="Times New Roman"/>
          <w:sz w:val="20"/>
          <w:szCs w:val="20"/>
        </w:rPr>
        <w:t xml:space="preserve">) supply chain captures raw renewable electrical energy—sourced from wind or solar grids—and stores it in a high-density chemical form. This pathway begins by splitting water within an </w:t>
      </w:r>
      <w:proofErr w:type="spellStart"/>
      <w:r w:rsidRPr="00072B42">
        <w:rPr>
          <w:rFonts w:ascii="Times New Roman" w:hAnsi="Times New Roman" w:cs="Times New Roman"/>
          <w:sz w:val="20"/>
          <w:szCs w:val="20"/>
        </w:rPr>
        <w:t>electrolyzer</w:t>
      </w:r>
      <w:proofErr w:type="spellEnd"/>
      <w:r w:rsidRPr="00072B42">
        <w:rPr>
          <w:rFonts w:ascii="Times New Roman" w:hAnsi="Times New Roman" w:cs="Times New Roman"/>
          <w:sz w:val="20"/>
          <w:szCs w:val="20"/>
        </w:rPr>
        <w:t xml:space="preserve"> to produce green hydrogen (H₂), which is subsequently combined with captured carbon dioxide (CO₂) in a series of catalytic reactors to synthesize middle-distillate liquid hydrocarbons.</w:t>
      </w:r>
    </w:p>
    <w:p w14:paraId="521C7E8A" w14:textId="77777777" w:rsidR="0089201A" w:rsidRPr="00072B42" w:rsidRDefault="0089201A" w:rsidP="0089201A">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Despite these environmental advantages, the commercialization of </w:t>
      </w:r>
      <w:proofErr w:type="spellStart"/>
      <w:r w:rsidRPr="00072B42">
        <w:rPr>
          <w:rFonts w:ascii="Times New Roman" w:hAnsi="Times New Roman" w:cs="Times New Roman"/>
          <w:sz w:val="20"/>
          <w:szCs w:val="20"/>
        </w:rPr>
        <w:t>PtL</w:t>
      </w:r>
      <w:proofErr w:type="spellEnd"/>
      <w:r w:rsidRPr="00072B42">
        <w:rPr>
          <w:rFonts w:ascii="Times New Roman" w:hAnsi="Times New Roman" w:cs="Times New Roman"/>
          <w:sz w:val="20"/>
          <w:szCs w:val="20"/>
        </w:rPr>
        <w:t xml:space="preserve"> technology is constrained by severe techno-economic bottlenecks. The two primary cost drivers are the intensive Capital Expenditures (CAPEX) necessary to construct direct air capture (DAC) units alongside high-pressure synthesis infrastructure, and the massive Operating Expenses (OPEX) dictated by the electrical load required for water electrolysis. Driving down the cost of green hydrogen utility feeds and maximizing carbon conversion efficiency are essential to achieving overall economic feasibility for synthetic fuels.</w:t>
      </w:r>
    </w:p>
    <w:p w14:paraId="2A2F65BA" w14:textId="77777777" w:rsidR="0089201A" w:rsidRPr="00072B42" w:rsidRDefault="0089201A" w:rsidP="0089201A">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While the core catalytic chemistry of Fischer-</w:t>
      </w:r>
      <w:proofErr w:type="spellStart"/>
      <w:r w:rsidRPr="00072B42">
        <w:rPr>
          <w:rFonts w:ascii="Times New Roman" w:hAnsi="Times New Roman" w:cs="Times New Roman"/>
          <w:sz w:val="20"/>
          <w:szCs w:val="20"/>
        </w:rPr>
        <w:t>Tropsch</w:t>
      </w:r>
      <w:proofErr w:type="spellEnd"/>
      <w:r w:rsidRPr="00072B42">
        <w:rPr>
          <w:rFonts w:ascii="Times New Roman" w:hAnsi="Times New Roman" w:cs="Times New Roman"/>
          <w:sz w:val="20"/>
          <w:szCs w:val="20"/>
        </w:rPr>
        <w:t xml:space="preserve"> (FT) synthesis is mature, the integration of variable renewable energy pricing with complex thermochemical recycling loops requires advanced computational modeling. Process systems engineering addresses these bottlenecks by constructing rigorous thermodynamic models to identify the exact operating conditions that maximize liquid fuel yield while minimizing energy waste.</w:t>
      </w:r>
    </w:p>
    <w:p w14:paraId="775E5D98" w14:textId="77777777" w:rsidR="0089201A" w:rsidRPr="00072B42" w:rsidRDefault="0089201A" w:rsidP="0089201A">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This research leverages Aspen Plus and Python data workflows to optimize a closed-loop </w:t>
      </w:r>
      <w:proofErr w:type="spellStart"/>
      <w:r w:rsidRPr="00072B42">
        <w:rPr>
          <w:rFonts w:ascii="Times New Roman" w:hAnsi="Times New Roman" w:cs="Times New Roman"/>
          <w:sz w:val="20"/>
          <w:szCs w:val="20"/>
        </w:rPr>
        <w:t>PtL</w:t>
      </w:r>
      <w:proofErr w:type="spellEnd"/>
      <w:r w:rsidRPr="00072B42">
        <w:rPr>
          <w:rFonts w:ascii="Times New Roman" w:hAnsi="Times New Roman" w:cs="Times New Roman"/>
          <w:sz w:val="20"/>
          <w:szCs w:val="20"/>
        </w:rPr>
        <w:t xml:space="preserve"> pilot facility. By digitally manipulating reactor temperatures, phase separation pressures, and unreacted tail-gas recycle stream purge fractions, this study quantifies the precise thermodynamic and operational limits of the synthesis loop. Furthermore, a dual-scenario Techno-Economic Analysis (TEA) is applied to demonstrate how economies of scale and dedicated renewable Power Purchase Agreements (PPAs) can overcome initial pilot-scale cost barriers, driving the final Levelized Cost of Fuel (LCOF) into a commercially competitive range.</w:t>
      </w:r>
    </w:p>
    <w:p w14:paraId="49E5E179" w14:textId="77777777" w:rsidR="008716B6" w:rsidRPr="00072B42" w:rsidRDefault="008716B6" w:rsidP="005809F4">
      <w:pPr>
        <w:spacing w:line="240" w:lineRule="auto"/>
        <w:jc w:val="both"/>
        <w:rPr>
          <w:rFonts w:ascii="Times New Roman" w:hAnsi="Times New Roman" w:cs="Times New Roman"/>
          <w:sz w:val="20"/>
          <w:szCs w:val="20"/>
        </w:rPr>
      </w:pPr>
    </w:p>
    <w:p w14:paraId="112C82BB" w14:textId="00526E60" w:rsidR="005809F4" w:rsidRPr="00072B42" w:rsidRDefault="005809F4" w:rsidP="005809F4">
      <w:pPr>
        <w:spacing w:line="240" w:lineRule="auto"/>
        <w:jc w:val="both"/>
        <w:rPr>
          <w:rFonts w:ascii="Times New Roman" w:hAnsi="Times New Roman" w:cs="Times New Roman"/>
          <w:sz w:val="20"/>
          <w:szCs w:val="20"/>
        </w:rPr>
      </w:pPr>
    </w:p>
    <w:p w14:paraId="739FE9F7" w14:textId="77777777" w:rsidR="005809F4" w:rsidRPr="00072B42" w:rsidRDefault="005809F4" w:rsidP="005809F4">
      <w:pPr>
        <w:spacing w:line="240" w:lineRule="auto"/>
        <w:jc w:val="both"/>
        <w:rPr>
          <w:rFonts w:ascii="Times New Roman" w:hAnsi="Times New Roman" w:cs="Times New Roman"/>
          <w:b/>
          <w:bCs/>
        </w:rPr>
      </w:pPr>
      <w:r w:rsidRPr="00072B42">
        <w:rPr>
          <w:rFonts w:ascii="Times New Roman" w:hAnsi="Times New Roman" w:cs="Times New Roman"/>
          <w:b/>
          <w:bCs/>
        </w:rPr>
        <w:t>2. Process Modeling Methodology</w:t>
      </w:r>
    </w:p>
    <w:p w14:paraId="58DFA51C"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2.1 Thermodynamic Framework &amp; Component Specification</w:t>
      </w:r>
    </w:p>
    <w:p w14:paraId="16CE1118"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lastRenderedPageBreak/>
        <w:t>The steady-state simulation was executed within the Aspen Plus simulation environment. The Non-Random Two-Liquid (NRTL) thermodynamic property package was selected to rigorously model the highly non-ideal, polar behavior of water and aqueous mixtures during liquid-liquid phase splits. Gases operating above their critical temperatures—Hydrogen (H₂), Oxygen (O₂), Carbon Dioxide (designated as CARBO-01), and Carbon Monoxide (designated as CARBO-02)—were explicitly specified as Henry’s Law components. This protocol forces the numerical engine to compute trace supercritical solubilities within liquid phases rather than bypassing them via standard condensation models.</w:t>
      </w:r>
    </w:p>
    <w:p w14:paraId="7A728B19"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Pure n-dodecane (tagged as N-DOD-01) served as the representative proxy liquid hydrocarbon to simulate the middle-distillate kerosene range of commercial aviation fuel. To resolve multi-phase flash discontinuities and computational anomalies regarding Vapor-Liquid-Liquid Equilibrium (VLLE), binary interaction parameters for liquid-liquid repulsion (water and n-dodecane) and gas-solvent dissolution (H₂ and n-dodecane) were manually configured to ideal boundaries to establish stable convergence behavior.</w:t>
      </w:r>
    </w:p>
    <w:p w14:paraId="174F45EE"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2.2 Green Hydrogen Production &amp; Syngas Generation</w:t>
      </w:r>
    </w:p>
    <w:p w14:paraId="5A464567" w14:textId="77777777" w:rsidR="00E47A0E" w:rsidRPr="00E47A0E" w:rsidRDefault="005809F4" w:rsidP="005809F4">
      <w:pPr>
        <w:spacing w:line="240" w:lineRule="auto"/>
        <w:jc w:val="both"/>
        <w:rPr>
          <w:rFonts w:ascii="Times New Roman" w:eastAsiaTheme="minorEastAsia" w:hAnsi="Times New Roman" w:cs="Times New Roman"/>
          <w:sz w:val="20"/>
          <w:szCs w:val="20"/>
        </w:rPr>
      </w:pPr>
      <w:r w:rsidRPr="00072B42">
        <w:rPr>
          <w:rFonts w:ascii="Times New Roman" w:hAnsi="Times New Roman" w:cs="Times New Roman"/>
          <w:sz w:val="20"/>
          <w:szCs w:val="20"/>
        </w:rPr>
        <w:t>The frontend electrochemical section was initialized in Area 100. Fresh deionized feedwater (FEED, 100.00 kg/</w:t>
      </w:r>
      <w:proofErr w:type="spellStart"/>
      <w:r w:rsidRPr="00072B42">
        <w:rPr>
          <w:rFonts w:ascii="Times New Roman" w:hAnsi="Times New Roman" w:cs="Times New Roman"/>
          <w:sz w:val="20"/>
          <w:szCs w:val="20"/>
        </w:rPr>
        <w:t>hr</w:t>
      </w:r>
      <w:proofErr w:type="spellEnd"/>
      <w:r w:rsidRPr="00072B42">
        <w:rPr>
          <w:rFonts w:ascii="Times New Roman" w:hAnsi="Times New Roman" w:cs="Times New Roman"/>
          <w:sz w:val="20"/>
          <w:szCs w:val="20"/>
        </w:rPr>
        <w:t xml:space="preserve">) at 2 bar and 40°C is mechanically pressurized via a centrifugal pump (P101) to loop conditions before entering the mixing manifold MX101. The blended stream enters the Proton Exchange Membrane (PEM) </w:t>
      </w:r>
      <w:proofErr w:type="spellStart"/>
      <w:r w:rsidRPr="00072B42">
        <w:rPr>
          <w:rFonts w:ascii="Times New Roman" w:hAnsi="Times New Roman" w:cs="Times New Roman"/>
          <w:sz w:val="20"/>
          <w:szCs w:val="20"/>
        </w:rPr>
        <w:t>electrolyzer</w:t>
      </w:r>
      <w:proofErr w:type="spellEnd"/>
      <w:r w:rsidRPr="00072B42">
        <w:rPr>
          <w:rFonts w:ascii="Times New Roman" w:hAnsi="Times New Roman" w:cs="Times New Roman"/>
          <w:sz w:val="20"/>
          <w:szCs w:val="20"/>
        </w:rPr>
        <w:t>, modeled as an isothermal stoichiometric reactor (</w:t>
      </w:r>
      <w:proofErr w:type="spellStart"/>
      <w:r w:rsidRPr="00072B42">
        <w:rPr>
          <w:rFonts w:ascii="Times New Roman" w:hAnsi="Times New Roman" w:cs="Times New Roman"/>
          <w:sz w:val="20"/>
          <w:szCs w:val="20"/>
        </w:rPr>
        <w:t>RStoic</w:t>
      </w:r>
      <w:proofErr w:type="spellEnd"/>
      <w:r w:rsidRPr="00072B42">
        <w:rPr>
          <w:rFonts w:ascii="Times New Roman" w:hAnsi="Times New Roman" w:cs="Times New Roman"/>
          <w:sz w:val="20"/>
          <w:szCs w:val="20"/>
        </w:rPr>
        <w:t>, tagged as R101) operating at 70°C and 40 bar. The splitting reaction stoichiometry is governed by</w:t>
      </w:r>
      <w:r w:rsidR="00B11F00">
        <w:rPr>
          <w:rFonts w:ascii="Times New Roman" w:hAnsi="Times New Roman" w:cs="Times New Roman"/>
          <w:sz w:val="20"/>
          <w:szCs w:val="20"/>
        </w:rPr>
        <w:t>:</w:t>
      </w:r>
      <w:r w:rsidR="00672400" w:rsidRPr="00072B42">
        <w:rPr>
          <w:rFonts w:ascii="Times New Roman" w:hAnsi="Times New Roman" w:cs="Times New Roman"/>
          <w:sz w:val="20"/>
          <w:szCs w:val="20"/>
        </w:rPr>
        <w:t xml:space="preserve"> </w:t>
      </w:r>
    </w:p>
    <w:p w14:paraId="1543BD58" w14:textId="00FBE329" w:rsidR="00B11F00" w:rsidRPr="00B11F00" w:rsidRDefault="00B11F00" w:rsidP="00E47A0E">
      <w:pPr>
        <w:spacing w:line="240" w:lineRule="auto"/>
        <w:jc w:val="center"/>
        <w:rPr>
          <w:rFonts w:ascii="Times New Roman" w:hAnsi="Times New Roman" w:cs="Times New Roman"/>
          <w:sz w:val="20"/>
          <w:szCs w:val="20"/>
        </w:rPr>
      </w:pPr>
      <m:oMath>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O→2</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O</m:t>
            </m:r>
          </m:e>
          <m:sub>
            <m:r>
              <w:rPr>
                <w:rFonts w:ascii="Cambria Math" w:hAnsi="Cambria Math" w:cs="Times New Roman"/>
                <w:sz w:val="20"/>
                <w:szCs w:val="20"/>
              </w:rPr>
              <m:t>2</m:t>
            </m:r>
          </m:sub>
        </m:sSub>
      </m:oMath>
      <w:r w:rsidR="00D906CF">
        <w:rPr>
          <w:rFonts w:ascii="Times New Roman" w:eastAsiaTheme="minorEastAsia" w:hAnsi="Times New Roman" w:cs="Times New Roman"/>
          <w:sz w:val="20"/>
          <w:szCs w:val="20"/>
        </w:rPr>
        <w:t>.</w:t>
      </w:r>
    </w:p>
    <w:p w14:paraId="343BD99A" w14:textId="76981214" w:rsidR="005809F4" w:rsidRPr="00B11F00" w:rsidRDefault="002005C6" w:rsidP="005809F4">
      <w:pPr>
        <w:spacing w:line="240" w:lineRule="auto"/>
        <w:jc w:val="both"/>
        <w:rPr>
          <w:rFonts w:ascii="Times New Roman" w:eastAsiaTheme="minorEastAsia" w:hAnsi="Times New Roman" w:cs="Times New Roman"/>
          <w:sz w:val="20"/>
          <w:szCs w:val="20"/>
        </w:rPr>
      </w:pPr>
      <m:oMath>
        <m:r>
          <w:rPr>
            <w:rFonts w:ascii="Cambria Math" w:hAnsi="Cambria Math" w:cs="Times New Roman"/>
            <w:sz w:val="20"/>
            <w:szCs w:val="20"/>
          </w:rPr>
          <m:t xml:space="preserve"> </m:t>
        </m:r>
      </m:oMath>
      <w:r w:rsidR="005809F4" w:rsidRPr="00072B42">
        <w:rPr>
          <w:rFonts w:ascii="Times New Roman" w:hAnsi="Times New Roman" w:cs="Times New Roman"/>
          <w:sz w:val="20"/>
          <w:szCs w:val="20"/>
        </w:rPr>
        <w:t>This reaction was bounded to a 50% single-pass fractional conversion to simulate the excess liquid water flux required for physical polymer membrane hydration. High-pressure gas-liquid separation was handled by knock-out vessel V101, routing a pure byproduct oxygen gas stream to the battery limits. A standard industrial stack efficiency of 65% was tracked against the theoretical thermodynamic enthalpy to evaluate the 675.18 kW mechanical electrolyzer load.</w:t>
      </w:r>
    </w:p>
    <w:p w14:paraId="4285C5A4" w14:textId="77777777" w:rsidR="00E47A0E"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To generate active synthesis gas (syngas), the produced green hydrogen stream was blended inside manifold MX102 with a 100.00 kg/</w:t>
      </w:r>
      <w:proofErr w:type="spellStart"/>
      <w:r w:rsidRPr="00072B42">
        <w:rPr>
          <w:rFonts w:ascii="Times New Roman" w:hAnsi="Times New Roman" w:cs="Times New Roman"/>
          <w:sz w:val="20"/>
          <w:szCs w:val="20"/>
        </w:rPr>
        <w:t>hr</w:t>
      </w:r>
      <w:proofErr w:type="spellEnd"/>
      <w:r w:rsidRPr="00072B42">
        <w:rPr>
          <w:rFonts w:ascii="Times New Roman" w:hAnsi="Times New Roman" w:cs="Times New Roman"/>
          <w:sz w:val="20"/>
          <w:szCs w:val="20"/>
        </w:rPr>
        <w:t xml:space="preserve"> raw CO₂ feedstock stream at matching conditions (70°C, 40 bar). This combined syngas intermediate is routed directly into the Reverse Water-Gas Shift (RWGS) equilibrium reactor (</w:t>
      </w:r>
      <w:proofErr w:type="spellStart"/>
      <w:r w:rsidRPr="00072B42">
        <w:rPr>
          <w:rFonts w:ascii="Times New Roman" w:hAnsi="Times New Roman" w:cs="Times New Roman"/>
          <w:sz w:val="20"/>
          <w:szCs w:val="20"/>
        </w:rPr>
        <w:t>REquil</w:t>
      </w:r>
      <w:proofErr w:type="spellEnd"/>
      <w:r w:rsidRPr="00072B42">
        <w:rPr>
          <w:rFonts w:ascii="Times New Roman" w:hAnsi="Times New Roman" w:cs="Times New Roman"/>
          <w:sz w:val="20"/>
          <w:szCs w:val="20"/>
        </w:rPr>
        <w:t>, tagged as R102), operating isothermally at 800°C. This high-temperature thermal envelope minimizes Gibbs Free Energy to thermodynamically favor the endothermic conversion of carbon dioxide into reactive carbon monoxide via the shift reaction:</w:t>
      </w:r>
    </w:p>
    <w:p w14:paraId="7717A735" w14:textId="20FBF55A" w:rsidR="005809F4" w:rsidRPr="00CA09C5" w:rsidRDefault="00CA09C5" w:rsidP="00E47A0E">
      <w:pPr>
        <w:spacing w:line="240" w:lineRule="auto"/>
        <w:jc w:val="center"/>
        <w:rPr>
          <w:rFonts w:ascii="Times New Roman" w:eastAsiaTheme="minorEastAsia" w:hAnsi="Times New Roman" w:cs="Times New Roman"/>
          <w:sz w:val="20"/>
          <w:szCs w:val="20"/>
        </w:rPr>
      </w:pPr>
      <m:oMath>
        <m:r>
          <w:rPr>
            <w:rFonts w:ascii="Cambria Math" w:hAnsi="Cambria Math" w:cs="Times New Roman"/>
            <w:sz w:val="20"/>
            <w:szCs w:val="20"/>
          </w:rPr>
          <m:t>C</m:t>
        </m:r>
        <m:sSub>
          <m:sSubPr>
            <m:ctrlPr>
              <w:rPr>
                <w:rFonts w:ascii="Cambria Math" w:hAnsi="Cambria Math" w:cs="Times New Roman"/>
                <w:i/>
                <w:sz w:val="20"/>
                <w:szCs w:val="20"/>
              </w:rPr>
            </m:ctrlPr>
          </m:sSubPr>
          <m:e>
            <m:r>
              <w:rPr>
                <w:rFonts w:ascii="Cambria Math" w:hAnsi="Cambria Math" w:cs="Times New Roman"/>
                <w:sz w:val="20"/>
                <w:szCs w:val="20"/>
              </w:rPr>
              <m:t>O</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→CO+</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O</m:t>
        </m:r>
      </m:oMath>
      <w:r w:rsidR="00F5189C">
        <w:rPr>
          <w:rFonts w:ascii="Times New Roman" w:eastAsiaTheme="minorEastAsia" w:hAnsi="Times New Roman" w:cs="Times New Roman"/>
          <w:sz w:val="20"/>
          <w:szCs w:val="20"/>
        </w:rPr>
        <w:t>.</w:t>
      </w:r>
    </w:p>
    <w:p w14:paraId="1E09AA14"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2.3 Fischer-</w:t>
      </w:r>
      <w:proofErr w:type="spellStart"/>
      <w:r w:rsidRPr="00072B42">
        <w:rPr>
          <w:rFonts w:ascii="Times New Roman" w:hAnsi="Times New Roman" w:cs="Times New Roman"/>
          <w:b/>
          <w:bCs/>
          <w:sz w:val="20"/>
          <w:szCs w:val="20"/>
        </w:rPr>
        <w:t>Tropsch</w:t>
      </w:r>
      <w:proofErr w:type="spellEnd"/>
      <w:r w:rsidRPr="00072B42">
        <w:rPr>
          <w:rFonts w:ascii="Times New Roman" w:hAnsi="Times New Roman" w:cs="Times New Roman"/>
          <w:b/>
          <w:bCs/>
          <w:sz w:val="20"/>
          <w:szCs w:val="20"/>
        </w:rPr>
        <w:t xml:space="preserve"> Synthesis &amp; Phase Separation</w:t>
      </w:r>
    </w:p>
    <w:p w14:paraId="1011411E" w14:textId="77777777" w:rsidR="00E47A0E" w:rsidRPr="00E47A0E" w:rsidRDefault="005809F4" w:rsidP="005809F4">
      <w:pPr>
        <w:spacing w:line="240" w:lineRule="auto"/>
        <w:jc w:val="both"/>
        <w:rPr>
          <w:rFonts w:ascii="Times New Roman" w:eastAsiaTheme="minorEastAsia" w:hAnsi="Times New Roman" w:cs="Times New Roman"/>
          <w:sz w:val="20"/>
          <w:szCs w:val="20"/>
        </w:rPr>
      </w:pPr>
      <w:r w:rsidRPr="00072B42">
        <w:rPr>
          <w:rFonts w:ascii="Times New Roman" w:hAnsi="Times New Roman" w:cs="Times New Roman"/>
          <w:sz w:val="20"/>
          <w:szCs w:val="20"/>
        </w:rPr>
        <w:t xml:space="preserve">The hot RWGS effluent passes through the process-to-process recovery heat exchanger E101, dropping from 800°C to 647°C by cross-exchanging 13,722 </w:t>
      </w:r>
      <w:proofErr w:type="spellStart"/>
      <w:r w:rsidRPr="00072B42">
        <w:rPr>
          <w:rFonts w:ascii="Times New Roman" w:hAnsi="Times New Roman" w:cs="Times New Roman"/>
          <w:sz w:val="20"/>
          <w:szCs w:val="20"/>
        </w:rPr>
        <w:t>cal</w:t>
      </w:r>
      <w:proofErr w:type="spellEnd"/>
      <w:r w:rsidRPr="00072B42">
        <w:rPr>
          <w:rFonts w:ascii="Times New Roman" w:hAnsi="Times New Roman" w:cs="Times New Roman"/>
          <w:sz w:val="20"/>
          <w:szCs w:val="20"/>
        </w:rPr>
        <w:t>/sec of free thermal energy into the cooler loop lines. The conditioned syngas enters the Low-Temperature Fischer-</w:t>
      </w:r>
      <w:proofErr w:type="spellStart"/>
      <w:r w:rsidRPr="00072B42">
        <w:rPr>
          <w:rFonts w:ascii="Times New Roman" w:hAnsi="Times New Roman" w:cs="Times New Roman"/>
          <w:sz w:val="20"/>
          <w:szCs w:val="20"/>
        </w:rPr>
        <w:t>Tropsch</w:t>
      </w:r>
      <w:proofErr w:type="spellEnd"/>
      <w:r w:rsidRPr="00072B42">
        <w:rPr>
          <w:rFonts w:ascii="Times New Roman" w:hAnsi="Times New Roman" w:cs="Times New Roman"/>
          <w:sz w:val="20"/>
          <w:szCs w:val="20"/>
        </w:rPr>
        <w:t xml:space="preserve"> (LTFT) synthesis reactor (</w:t>
      </w:r>
      <w:proofErr w:type="spellStart"/>
      <w:r w:rsidRPr="00072B42">
        <w:rPr>
          <w:rFonts w:ascii="Times New Roman" w:hAnsi="Times New Roman" w:cs="Times New Roman"/>
          <w:sz w:val="20"/>
          <w:szCs w:val="20"/>
        </w:rPr>
        <w:t>RStoic</w:t>
      </w:r>
      <w:proofErr w:type="spellEnd"/>
      <w:r w:rsidRPr="00072B42">
        <w:rPr>
          <w:rFonts w:ascii="Times New Roman" w:hAnsi="Times New Roman" w:cs="Times New Roman"/>
          <w:sz w:val="20"/>
          <w:szCs w:val="20"/>
        </w:rPr>
        <w:t>, tagged as R103), operating at 220°C and 25 bar. This specific catalytic environment suppresses the over-cracking of hydrocarbons into light methane gas, maximizing heavy distillate yields. The polymerization stoichiometry was constrained to:</w:t>
      </w:r>
    </w:p>
    <w:p w14:paraId="73CE86A5" w14:textId="7D005030" w:rsidR="005809F4" w:rsidRPr="00072B42" w:rsidRDefault="00F5189C" w:rsidP="005809F4">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12</m:t>
          </m:r>
          <m:r>
            <w:rPr>
              <w:rFonts w:ascii="Cambria Math" w:hAnsi="Cambria Math" w:cs="Times New Roman"/>
              <w:sz w:val="20"/>
              <w:szCs w:val="20"/>
            </w:rPr>
            <m:t>CO+25</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12</m:t>
              </m:r>
            </m:sub>
          </m:sSub>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26</m:t>
              </m:r>
            </m:sub>
          </m:sSub>
          <m:r>
            <w:rPr>
              <w:rFonts w:ascii="Cambria Math" w:hAnsi="Cambria Math" w:cs="Times New Roman"/>
              <w:sz w:val="20"/>
              <w:szCs w:val="20"/>
            </w:rPr>
            <m:t>+12</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2</m:t>
              </m:r>
            </m:sub>
          </m:sSub>
          <m:r>
            <w:rPr>
              <w:rFonts w:ascii="Cambria Math" w:hAnsi="Cambria Math" w:cs="Times New Roman"/>
              <w:sz w:val="20"/>
              <w:szCs w:val="20"/>
            </w:rPr>
            <m:t>O</m:t>
          </m:r>
        </m:oMath>
      </m:oMathPara>
    </w:p>
    <w:p w14:paraId="729D57FF"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A fixed 80% single-pass conversion rate was tracked against the limiting carbon monoxide reactant to emulate standard industrial cobalt catalyst performance metrics.</w:t>
      </w:r>
    </w:p>
    <w:p w14:paraId="1945B3A5" w14:textId="05A01F3C"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Product recovery utilized a rigorous multi-stage separation matrix to isolate the synthetic oil from byproduct wastewater and unreacted tail gases. The highly exothermic FT effluent is cooled to 40°C via process cooler E102 and depressurized to </w:t>
      </w:r>
      <w:r w:rsidR="00CC1461">
        <w:rPr>
          <w:rFonts w:ascii="Times New Roman" w:hAnsi="Times New Roman" w:cs="Times New Roman"/>
          <w:sz w:val="20"/>
          <w:szCs w:val="20"/>
        </w:rPr>
        <w:t>2</w:t>
      </w:r>
      <w:r w:rsidRPr="00072B42">
        <w:rPr>
          <w:rFonts w:ascii="Times New Roman" w:hAnsi="Times New Roman" w:cs="Times New Roman"/>
          <w:sz w:val="20"/>
          <w:szCs w:val="20"/>
        </w:rPr>
        <w:t xml:space="preserve"> </w:t>
      </w:r>
      <w:proofErr w:type="gramStart"/>
      <w:r w:rsidRPr="00072B42">
        <w:rPr>
          <w:rFonts w:ascii="Times New Roman" w:hAnsi="Times New Roman" w:cs="Times New Roman"/>
          <w:sz w:val="20"/>
          <w:szCs w:val="20"/>
        </w:rPr>
        <w:t>bar</w:t>
      </w:r>
      <w:proofErr w:type="gramEnd"/>
      <w:r w:rsidRPr="00072B42">
        <w:rPr>
          <w:rFonts w:ascii="Times New Roman" w:hAnsi="Times New Roman" w:cs="Times New Roman"/>
          <w:sz w:val="20"/>
          <w:szCs w:val="20"/>
        </w:rPr>
        <w:t xml:space="preserve"> before entering the primary flash vessel V104. The gas phase is degassed through drum V102, while the liquid streams undergo decantation inside the rigorous three-phase flash separator (Flash3, tagged as V103) to split the immiscible organics from wastewater.</w:t>
      </w:r>
    </w:p>
    <w:p w14:paraId="22098AE6" w14:textId="665442EF"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The isolated raw liquid fuel is stabilized in vessel V105 and fed into Stage 2 of a 30-stage rigorous fractional distillation </w:t>
      </w:r>
      <w:r w:rsidR="002D020C">
        <w:rPr>
          <w:rFonts w:ascii="Times New Roman" w:hAnsi="Times New Roman" w:cs="Times New Roman"/>
          <w:sz w:val="20"/>
          <w:szCs w:val="20"/>
        </w:rPr>
        <w:t>column</w:t>
      </w:r>
      <w:r w:rsidRPr="00072B42">
        <w:rPr>
          <w:rFonts w:ascii="Times New Roman" w:hAnsi="Times New Roman" w:cs="Times New Roman"/>
          <w:sz w:val="20"/>
          <w:szCs w:val="20"/>
        </w:rPr>
        <w:t xml:space="preserve"> (</w:t>
      </w:r>
      <w:proofErr w:type="spellStart"/>
      <w:r w:rsidRPr="00072B42">
        <w:rPr>
          <w:rFonts w:ascii="Times New Roman" w:hAnsi="Times New Roman" w:cs="Times New Roman"/>
          <w:sz w:val="20"/>
          <w:szCs w:val="20"/>
        </w:rPr>
        <w:t>RadFrac</w:t>
      </w:r>
      <w:proofErr w:type="spellEnd"/>
      <w:r w:rsidRPr="00072B42">
        <w:rPr>
          <w:rFonts w:ascii="Times New Roman" w:hAnsi="Times New Roman" w:cs="Times New Roman"/>
          <w:sz w:val="20"/>
          <w:szCs w:val="20"/>
        </w:rPr>
        <w:t xml:space="preserve">, tagged as C101) running on a closed fugacity matrix loop (Eq-Solve) with a fixed mass reflux ratio of 1.0. The column operates at a </w:t>
      </w:r>
      <w:r w:rsidR="00AB2B93">
        <w:rPr>
          <w:rFonts w:ascii="Times New Roman" w:hAnsi="Times New Roman" w:cs="Times New Roman"/>
          <w:sz w:val="20"/>
          <w:szCs w:val="20"/>
        </w:rPr>
        <w:t>1</w:t>
      </w:r>
      <w:r w:rsidRPr="00072B42">
        <w:rPr>
          <w:rFonts w:ascii="Times New Roman" w:hAnsi="Times New Roman" w:cs="Times New Roman"/>
          <w:sz w:val="20"/>
          <w:szCs w:val="20"/>
        </w:rPr>
        <w:t xml:space="preserve"> bar pressure, achieving a trayed height of 17.07 meters to separate </w:t>
      </w:r>
      <w:r w:rsidRPr="00072B42">
        <w:rPr>
          <w:rFonts w:ascii="Times New Roman" w:hAnsi="Times New Roman" w:cs="Times New Roman"/>
          <w:sz w:val="20"/>
          <w:szCs w:val="20"/>
        </w:rPr>
        <w:lastRenderedPageBreak/>
        <w:t>heavy residues from aviation-grade fractions. Pure liquid n-dodecane exiting the column bottom is chilled to 40°C via product cooler E103 and safely stored at atmospheric pressure (1.013 bar) inside the product collection drum B3 to achieve final industrial purity.</w:t>
      </w:r>
    </w:p>
    <w:p w14:paraId="632257BE"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2.4 Loop Convergence &amp; Circular Economy Integration</w:t>
      </w:r>
    </w:p>
    <w:p w14:paraId="378D0B16"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To maximize net material and carbon atom efficiency, two distinct circular recycle loops were integrated into the flowsheet canvas:</w:t>
      </w:r>
    </w:p>
    <w:p w14:paraId="38EF1685" w14:textId="40A96FBE" w:rsidR="005809F4" w:rsidRPr="00072B42" w:rsidRDefault="005809F4" w:rsidP="005809F4">
      <w:pPr>
        <w:numPr>
          <w:ilvl w:val="0"/>
          <w:numId w:val="1"/>
        </w:numPr>
        <w:spacing w:line="240" w:lineRule="auto"/>
        <w:jc w:val="both"/>
        <w:rPr>
          <w:rFonts w:ascii="Times New Roman" w:hAnsi="Times New Roman" w:cs="Times New Roman"/>
          <w:sz w:val="20"/>
          <w:szCs w:val="20"/>
        </w:rPr>
      </w:pPr>
      <w:r w:rsidRPr="00072B42">
        <w:rPr>
          <w:rFonts w:ascii="Times New Roman" w:hAnsi="Times New Roman" w:cs="Times New Roman"/>
          <w:b/>
          <w:bCs/>
          <w:sz w:val="20"/>
          <w:szCs w:val="20"/>
        </w:rPr>
        <w:t>The Aqueous Recycle Loop:</w:t>
      </w:r>
      <w:r w:rsidRPr="00072B42">
        <w:rPr>
          <w:rFonts w:ascii="Times New Roman" w:hAnsi="Times New Roman" w:cs="Times New Roman"/>
          <w:sz w:val="20"/>
          <w:szCs w:val="20"/>
        </w:rPr>
        <w:t xml:space="preserve"> Liquid wastewater isolated from </w:t>
      </w:r>
      <w:r w:rsidR="00F86AD2">
        <w:rPr>
          <w:rFonts w:ascii="Times New Roman" w:hAnsi="Times New Roman" w:cs="Times New Roman"/>
          <w:sz w:val="20"/>
          <w:szCs w:val="20"/>
        </w:rPr>
        <w:t xml:space="preserve">flash </w:t>
      </w:r>
      <w:r w:rsidR="00AE4C1B">
        <w:rPr>
          <w:rFonts w:ascii="Times New Roman" w:hAnsi="Times New Roman" w:cs="Times New Roman"/>
          <w:sz w:val="20"/>
          <w:szCs w:val="20"/>
        </w:rPr>
        <w:t xml:space="preserve">V101 and </w:t>
      </w:r>
      <w:r w:rsidRPr="00072B42">
        <w:rPr>
          <w:rFonts w:ascii="Times New Roman" w:hAnsi="Times New Roman" w:cs="Times New Roman"/>
          <w:sz w:val="20"/>
          <w:szCs w:val="20"/>
        </w:rPr>
        <w:t>decanter V103 is routed back via stream</w:t>
      </w:r>
      <w:r w:rsidR="00AE4C1B">
        <w:rPr>
          <w:rFonts w:ascii="Times New Roman" w:hAnsi="Times New Roman" w:cs="Times New Roman"/>
          <w:sz w:val="20"/>
          <w:szCs w:val="20"/>
        </w:rPr>
        <w:t xml:space="preserve"> </w:t>
      </w:r>
      <w:r w:rsidR="009F1522">
        <w:rPr>
          <w:rFonts w:ascii="Times New Roman" w:hAnsi="Times New Roman" w:cs="Times New Roman"/>
          <w:sz w:val="20"/>
          <w:szCs w:val="20"/>
        </w:rPr>
        <w:t>RW1 and</w:t>
      </w:r>
      <w:r w:rsidRPr="00072B42">
        <w:rPr>
          <w:rFonts w:ascii="Times New Roman" w:hAnsi="Times New Roman" w:cs="Times New Roman"/>
          <w:sz w:val="20"/>
          <w:szCs w:val="20"/>
        </w:rPr>
        <w:t xml:space="preserve"> RW</w:t>
      </w:r>
      <w:r w:rsidR="005311BD">
        <w:rPr>
          <w:rFonts w:ascii="Times New Roman" w:hAnsi="Times New Roman" w:cs="Times New Roman"/>
          <w:sz w:val="20"/>
          <w:szCs w:val="20"/>
        </w:rPr>
        <w:t>2</w:t>
      </w:r>
      <w:r w:rsidRPr="00072B42">
        <w:rPr>
          <w:rFonts w:ascii="Times New Roman" w:hAnsi="Times New Roman" w:cs="Times New Roman"/>
          <w:sz w:val="20"/>
          <w:szCs w:val="20"/>
        </w:rPr>
        <w:t xml:space="preserve"> </w:t>
      </w:r>
      <w:r w:rsidR="009F1522">
        <w:rPr>
          <w:rFonts w:ascii="Times New Roman" w:hAnsi="Times New Roman" w:cs="Times New Roman"/>
          <w:sz w:val="20"/>
          <w:szCs w:val="20"/>
        </w:rPr>
        <w:t xml:space="preserve">respectively </w:t>
      </w:r>
      <w:r w:rsidRPr="00072B42">
        <w:rPr>
          <w:rFonts w:ascii="Times New Roman" w:hAnsi="Times New Roman" w:cs="Times New Roman"/>
          <w:sz w:val="20"/>
          <w:szCs w:val="20"/>
        </w:rPr>
        <w:t xml:space="preserve">straight into the frontend mixer MX101, establishing a closed-loop water economy that continuously resupplies the </w:t>
      </w:r>
      <w:proofErr w:type="spellStart"/>
      <w:r w:rsidRPr="00072B42">
        <w:rPr>
          <w:rFonts w:ascii="Times New Roman" w:hAnsi="Times New Roman" w:cs="Times New Roman"/>
          <w:sz w:val="20"/>
          <w:szCs w:val="20"/>
        </w:rPr>
        <w:t>electrolyzer</w:t>
      </w:r>
      <w:proofErr w:type="spellEnd"/>
      <w:r w:rsidRPr="00072B42">
        <w:rPr>
          <w:rFonts w:ascii="Times New Roman" w:hAnsi="Times New Roman" w:cs="Times New Roman"/>
          <w:sz w:val="20"/>
          <w:szCs w:val="20"/>
        </w:rPr>
        <w:t xml:space="preserve"> stack with reaction-generated water molecules.</w:t>
      </w:r>
    </w:p>
    <w:p w14:paraId="473FC9C0" w14:textId="2630E530" w:rsidR="005809F4" w:rsidRPr="000A3E59" w:rsidRDefault="00E97BBF" w:rsidP="000A3E59">
      <w:pPr>
        <w:numPr>
          <w:ilvl w:val="0"/>
          <w:numId w:val="1"/>
        </w:numPr>
        <w:spacing w:line="240" w:lineRule="auto"/>
        <w:jc w:val="both"/>
        <w:rPr>
          <w:rFonts w:ascii="Times New Roman" w:hAnsi="Times New Roman" w:cs="Times New Roman"/>
          <w:sz w:val="20"/>
          <w:szCs w:val="20"/>
        </w:rPr>
      </w:pPr>
      <w:r w:rsidRPr="00E97BBF">
        <w:rPr>
          <w:rFonts w:ascii="Times New Roman" w:hAnsi="Times New Roman" w:cs="Times New Roman"/>
          <w:b/>
          <w:bCs/>
          <w:sz w:val="20"/>
          <w:szCs w:val="20"/>
        </w:rPr>
        <w:t xml:space="preserve">The Gas Recycle Loop: </w:t>
      </w:r>
      <w:r w:rsidRPr="000A3E59">
        <w:rPr>
          <w:rFonts w:ascii="Times New Roman" w:hAnsi="Times New Roman" w:cs="Times New Roman"/>
          <w:sz w:val="20"/>
          <w:szCs w:val="20"/>
        </w:rPr>
        <w:t>Unreacted light tail gases exiting the overhead vapor channels of separation vessels V104 and V102 are captured and routed toward the loop splitting node. To prevent the infinite accumulation of inert compounds within the synthesis environment, a flow splitter block (SP101) acts as a system exhaust valve to continuously vent a tight 5%bleed fraction (PURGE) to the atmosphere. The remaining 9</w:t>
      </w:r>
      <w:r w:rsidR="000A3E59" w:rsidRPr="000A3E59">
        <w:rPr>
          <w:rFonts w:ascii="Times New Roman" w:hAnsi="Times New Roman" w:cs="Times New Roman"/>
          <w:sz w:val="20"/>
          <w:szCs w:val="20"/>
        </w:rPr>
        <w:t>0</w:t>
      </w:r>
      <w:r w:rsidRPr="000A3E59">
        <w:rPr>
          <w:rFonts w:ascii="Times New Roman" w:hAnsi="Times New Roman" w:cs="Times New Roman"/>
          <w:sz w:val="20"/>
          <w:szCs w:val="20"/>
        </w:rPr>
        <w:t xml:space="preserve">%of the unreacted vapor gas is routed into the centrifugal recycle compressor K01. Compressor K01 supplies </w:t>
      </w:r>
      <w:r w:rsidRPr="000A3E59">
        <w:rPr>
          <w:rFonts w:ascii="Times New Roman" w:hAnsi="Times New Roman" w:cs="Times New Roman"/>
          <w:sz w:val="20"/>
          <w:szCs w:val="20"/>
        </w:rPr>
        <w:drawing>
          <wp:inline distT="0" distB="0" distL="0" distR="0" wp14:anchorId="640F6ED3" wp14:editId="1652BF5C">
            <wp:extent cx="9525" cy="9525"/>
            <wp:effectExtent l="0" t="0" r="0" b="0"/>
            <wp:docPr id="6824241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3E59">
        <w:rPr>
          <w:rFonts w:ascii="Times New Roman" w:hAnsi="Times New Roman" w:cs="Times New Roman"/>
          <w:sz w:val="20"/>
          <w:szCs w:val="20"/>
        </w:rPr>
        <w:t>170</w:t>
      </w:r>
      <w:r w:rsidRPr="000A3E59">
        <w:rPr>
          <w:rFonts w:ascii="Times New Roman" w:hAnsi="Times New Roman" w:cs="Times New Roman"/>
          <w:sz w:val="20"/>
          <w:szCs w:val="20"/>
        </w:rPr>
        <w:drawing>
          <wp:inline distT="0" distB="0" distL="0" distR="0" wp14:anchorId="3F1B8DA9" wp14:editId="18A4174A">
            <wp:extent cx="9525" cy="9525"/>
            <wp:effectExtent l="0" t="0" r="0" b="0"/>
            <wp:docPr id="2658386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3E59">
        <w:rPr>
          <w:rFonts w:ascii="Times New Roman" w:hAnsi="Times New Roman" w:cs="Times New Roman"/>
          <w:sz w:val="20"/>
          <w:szCs w:val="20"/>
        </w:rPr>
        <w:t>kW</w:t>
      </w:r>
      <w:r w:rsidR="000A3E59" w:rsidRPr="000A3E59">
        <w:rPr>
          <w:rFonts w:ascii="Times New Roman" w:hAnsi="Times New Roman" w:cs="Times New Roman"/>
          <w:sz w:val="20"/>
          <w:szCs w:val="20"/>
        </w:rPr>
        <w:t xml:space="preserve"> </w:t>
      </w:r>
      <w:r w:rsidRPr="000A3E59">
        <w:rPr>
          <w:rFonts w:ascii="Times New Roman" w:hAnsi="Times New Roman" w:cs="Times New Roman"/>
          <w:sz w:val="20"/>
          <w:szCs w:val="20"/>
        </w:rPr>
        <w:t xml:space="preserve">of mechanical shaft power to boost the gas from its low-pressure state back up to the global operating constraint of </w:t>
      </w:r>
      <w:r w:rsidRPr="000A3E59">
        <w:rPr>
          <w:rFonts w:ascii="Times New Roman" w:hAnsi="Times New Roman" w:cs="Times New Roman"/>
          <w:sz w:val="20"/>
          <w:szCs w:val="20"/>
        </w:rPr>
        <w:drawing>
          <wp:inline distT="0" distB="0" distL="0" distR="0" wp14:anchorId="1F1673A6" wp14:editId="35F9C021">
            <wp:extent cx="9525" cy="9525"/>
            <wp:effectExtent l="0" t="0" r="0" b="0"/>
            <wp:docPr id="13196722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3E59">
        <w:rPr>
          <w:rFonts w:ascii="Times New Roman" w:hAnsi="Times New Roman" w:cs="Times New Roman"/>
          <w:sz w:val="20"/>
          <w:szCs w:val="20"/>
        </w:rPr>
        <w:t>25</w:t>
      </w:r>
      <w:r w:rsidR="000A3E59" w:rsidRPr="000A3E59">
        <w:rPr>
          <w:rFonts w:ascii="Times New Roman" w:hAnsi="Times New Roman" w:cs="Times New Roman"/>
          <w:sz w:val="20"/>
          <w:szCs w:val="20"/>
        </w:rPr>
        <w:t xml:space="preserve"> </w:t>
      </w:r>
      <w:r w:rsidRPr="000A3E59">
        <w:rPr>
          <w:rFonts w:ascii="Times New Roman" w:hAnsi="Times New Roman" w:cs="Times New Roman"/>
          <w:sz w:val="20"/>
          <w:szCs w:val="20"/>
        </w:rPr>
        <w:drawing>
          <wp:inline distT="0" distB="0" distL="0" distR="0" wp14:anchorId="3B5F6652" wp14:editId="67684C81">
            <wp:extent cx="9525" cy="9525"/>
            <wp:effectExtent l="0" t="0" r="0" b="0"/>
            <wp:docPr id="9658018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0A3E59">
        <w:rPr>
          <w:rFonts w:ascii="Times New Roman" w:hAnsi="Times New Roman" w:cs="Times New Roman"/>
          <w:sz w:val="20"/>
          <w:szCs w:val="20"/>
        </w:rPr>
        <w:t>bar</w:t>
      </w:r>
      <w:r w:rsidR="000A3E59" w:rsidRPr="000A3E59">
        <w:rPr>
          <w:rFonts w:ascii="Times New Roman" w:hAnsi="Times New Roman" w:cs="Times New Roman"/>
          <w:sz w:val="20"/>
          <w:szCs w:val="20"/>
        </w:rPr>
        <w:t xml:space="preserve"> </w:t>
      </w:r>
      <w:r w:rsidRPr="000A3E59">
        <w:rPr>
          <w:rFonts w:ascii="Times New Roman" w:hAnsi="Times New Roman" w:cs="Times New Roman"/>
          <w:sz w:val="20"/>
          <w:szCs w:val="20"/>
        </w:rPr>
        <w:t xml:space="preserve">and a temperature of </w:t>
      </w:r>
      <m:oMath>
        <m:sSup>
          <m:sSupPr>
            <m:ctrlPr>
              <w:rPr>
                <w:rFonts w:ascii="Cambria Math" w:hAnsi="Cambria Math" w:cs="Times New Roman"/>
                <w:sz w:val="20"/>
                <w:szCs w:val="20"/>
              </w:rPr>
            </m:ctrlPr>
          </m:sSupPr>
          <m:e>
            <m:r>
              <w:rPr>
                <w:rFonts w:ascii="Cambria Math" w:hAnsi="Cambria Math" w:cs="Times New Roman"/>
                <w:sz w:val="20"/>
                <w:szCs w:val="20"/>
              </w:rPr>
              <m:t>645</m:t>
            </m:r>
          </m:e>
          <m:sup>
            <m:r>
              <w:rPr>
                <w:rFonts w:ascii="Cambria Math" w:hAnsi="Cambria Math" w:cs="Times New Roman"/>
                <w:sz w:val="20"/>
                <w:szCs w:val="20"/>
              </w:rPr>
              <m:t>∘</m:t>
            </m:r>
          </m:sup>
        </m:sSup>
        <m:r>
          <m:rPr>
            <m:nor/>
          </m:rPr>
          <w:rPr>
            <w:rFonts w:ascii="Times New Roman" w:hAnsi="Times New Roman" w:cs="Times New Roman"/>
            <w:sz w:val="20"/>
            <w:szCs w:val="20"/>
          </w:rPr>
          <m:t>C</m:t>
        </m:r>
      </m:oMath>
      <w:r w:rsidRPr="000A3E59">
        <w:rPr>
          <w:rFonts w:ascii="Times New Roman" w:hAnsi="Times New Roman" w:cs="Times New Roman"/>
          <w:sz w:val="20"/>
          <w:szCs w:val="20"/>
        </w:rPr>
        <w:t>, discharging the pressurized reactants through stream 1</w:t>
      </w:r>
      <w:r w:rsidR="00132A21">
        <w:rPr>
          <w:rFonts w:ascii="Times New Roman" w:hAnsi="Times New Roman" w:cs="Times New Roman"/>
          <w:sz w:val="20"/>
          <w:szCs w:val="20"/>
        </w:rPr>
        <w:t>5</w:t>
      </w:r>
      <w:r w:rsidRPr="000A3E59">
        <w:rPr>
          <w:rFonts w:ascii="Times New Roman" w:hAnsi="Times New Roman" w:cs="Times New Roman"/>
          <w:sz w:val="20"/>
          <w:szCs w:val="20"/>
        </w:rPr>
        <w:t xml:space="preserve"> straight into mixer MX102 to blend with the fresh carbon feed</w:t>
      </w:r>
    </w:p>
    <w:p w14:paraId="752BB7FE" w14:textId="15F3939D"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To break the unphysical hydrogen memory lock and stabilize the feedback mechanisms, the flowsheet canvas was converged using a custom multivariable </w:t>
      </w:r>
      <w:proofErr w:type="spellStart"/>
      <w:r w:rsidRPr="00072B42">
        <w:rPr>
          <w:rFonts w:ascii="Times New Roman" w:hAnsi="Times New Roman" w:cs="Times New Roman"/>
          <w:sz w:val="20"/>
          <w:szCs w:val="20"/>
        </w:rPr>
        <w:t>Broyden</w:t>
      </w:r>
      <w:proofErr w:type="spellEnd"/>
      <w:r w:rsidRPr="00072B42">
        <w:rPr>
          <w:rFonts w:ascii="Times New Roman" w:hAnsi="Times New Roman" w:cs="Times New Roman"/>
          <w:sz w:val="20"/>
          <w:szCs w:val="20"/>
        </w:rPr>
        <w:t xml:space="preserve"> simultaneous convergence block (MY-SOLVE). Operating with a strict X-tolerance of 0.0001, the </w:t>
      </w:r>
      <w:proofErr w:type="spellStart"/>
      <w:r w:rsidRPr="00072B42">
        <w:rPr>
          <w:rFonts w:ascii="Times New Roman" w:hAnsi="Times New Roman" w:cs="Times New Roman"/>
          <w:sz w:val="20"/>
          <w:szCs w:val="20"/>
        </w:rPr>
        <w:t>Broyden</w:t>
      </w:r>
      <w:proofErr w:type="spellEnd"/>
      <w:r w:rsidRPr="00072B42">
        <w:rPr>
          <w:rFonts w:ascii="Times New Roman" w:hAnsi="Times New Roman" w:cs="Times New Roman"/>
          <w:sz w:val="20"/>
          <w:szCs w:val="20"/>
        </w:rPr>
        <w:t xml:space="preserve"> solver constructs a dynamic Jacobian matrix of partial derivatives, suppressing numerical mass oscillations and forcing the mass tear streams to settle on a physically bounded, true steady state of </w:t>
      </w:r>
      <w:r w:rsidR="004A4E36">
        <w:rPr>
          <w:rFonts w:ascii="Times New Roman" w:hAnsi="Times New Roman" w:cs="Times New Roman"/>
          <w:sz w:val="20"/>
          <w:szCs w:val="20"/>
        </w:rPr>
        <w:t>89</w:t>
      </w:r>
      <w:r w:rsidRPr="00072B42">
        <w:rPr>
          <w:rFonts w:ascii="Times New Roman" w:hAnsi="Times New Roman" w:cs="Times New Roman"/>
          <w:sz w:val="20"/>
          <w:szCs w:val="20"/>
        </w:rPr>
        <w:t xml:space="preserve"> kg/</w:t>
      </w:r>
      <w:proofErr w:type="spellStart"/>
      <w:r w:rsidRPr="00072B42">
        <w:rPr>
          <w:rFonts w:ascii="Times New Roman" w:hAnsi="Times New Roman" w:cs="Times New Roman"/>
          <w:sz w:val="20"/>
          <w:szCs w:val="20"/>
        </w:rPr>
        <w:t>hr</w:t>
      </w:r>
      <w:proofErr w:type="spellEnd"/>
      <w:r w:rsidRPr="00072B42">
        <w:rPr>
          <w:rFonts w:ascii="Times New Roman" w:hAnsi="Times New Roman" w:cs="Times New Roman"/>
          <w:sz w:val="20"/>
          <w:szCs w:val="20"/>
        </w:rPr>
        <w:t xml:space="preserve"> total recycle mass flow.</w:t>
      </w:r>
    </w:p>
    <w:p w14:paraId="293E8509" w14:textId="754A7E47" w:rsidR="005809F4" w:rsidRPr="00072B42" w:rsidRDefault="005809F4" w:rsidP="005809F4">
      <w:pPr>
        <w:spacing w:line="240" w:lineRule="auto"/>
        <w:jc w:val="both"/>
        <w:rPr>
          <w:rFonts w:ascii="Times New Roman" w:hAnsi="Times New Roman" w:cs="Times New Roman"/>
          <w:sz w:val="20"/>
          <w:szCs w:val="20"/>
        </w:rPr>
      </w:pPr>
    </w:p>
    <w:p w14:paraId="5E826430" w14:textId="77777777" w:rsidR="005809F4" w:rsidRPr="00DA0CAF" w:rsidRDefault="005809F4" w:rsidP="005809F4">
      <w:pPr>
        <w:spacing w:line="240" w:lineRule="auto"/>
        <w:jc w:val="both"/>
        <w:rPr>
          <w:rFonts w:ascii="Times New Roman" w:hAnsi="Times New Roman" w:cs="Times New Roman"/>
          <w:b/>
          <w:bCs/>
        </w:rPr>
      </w:pPr>
      <w:r w:rsidRPr="00DA0CAF">
        <w:rPr>
          <w:rFonts w:ascii="Times New Roman" w:hAnsi="Times New Roman" w:cs="Times New Roman"/>
          <w:b/>
          <w:bCs/>
        </w:rPr>
        <w:t>3. Techno-Economic Analysis (TEA) Methodology</w:t>
      </w:r>
    </w:p>
    <w:p w14:paraId="4B4A6EF0"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3.1 Capital &amp; Operating Expenditure Estimation</w:t>
      </w:r>
    </w:p>
    <w:p w14:paraId="018EBD71"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Economic evaluation was executed by linking the flowsheet model parameters directly to the Aspen Process Economic Analyzer (APEA) engine to determine the baseline plant capital expenditure (CAPEX). Equipment module costing was established by mapping physical steel dimensions onto the sized unit operations. Sizing constraints factored in standard gas hourly space velocities (GHSV) for the R102 and R103 catalyst beds, alongside the rigorously derived 17.07-meter trayed column height of tower C101.</w:t>
      </w:r>
    </w:p>
    <w:p w14:paraId="5C0639C4" w14:textId="77777777"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 xml:space="preserve">Operating expenditures (OPEX) were modeled by implementing a dedicated utility-scale renewable Power Purchase Agreement (PPA). The global electricity rate was adjusted within the costing database to a wholesale price of $0.02/kWh, capturing the financial profile of a facility co-located with a utility solar or wind farm utilizing off-peak, zero-curtailment power to drive the primary 675.18 kW </w:t>
      </w:r>
      <w:proofErr w:type="spellStart"/>
      <w:r w:rsidRPr="00072B42">
        <w:rPr>
          <w:rFonts w:ascii="Times New Roman" w:hAnsi="Times New Roman" w:cs="Times New Roman"/>
          <w:sz w:val="20"/>
          <w:szCs w:val="20"/>
        </w:rPr>
        <w:t>electrolyzer</w:t>
      </w:r>
      <w:proofErr w:type="spellEnd"/>
      <w:r w:rsidRPr="00072B42">
        <w:rPr>
          <w:rFonts w:ascii="Times New Roman" w:hAnsi="Times New Roman" w:cs="Times New Roman"/>
          <w:sz w:val="20"/>
          <w:szCs w:val="20"/>
        </w:rPr>
        <w:t xml:space="preserve"> stack and compressor workloads. Thermal utility demands and potential energy savings were evaluated by importing stream enthalpy data into the Aspen Energy Analyzer for pinch analysis. Fixed overheads were integrated to encapsulate plant operator salaries, administrative insurance, and localized feedstock logistics.</w:t>
      </w:r>
    </w:p>
    <w:p w14:paraId="75E30A5D" w14:textId="77777777" w:rsidR="005809F4" w:rsidRPr="00072B42" w:rsidRDefault="005809F4" w:rsidP="005809F4">
      <w:pPr>
        <w:spacing w:line="240" w:lineRule="auto"/>
        <w:jc w:val="both"/>
        <w:rPr>
          <w:rFonts w:ascii="Times New Roman" w:hAnsi="Times New Roman" w:cs="Times New Roman"/>
          <w:b/>
          <w:bCs/>
          <w:sz w:val="20"/>
          <w:szCs w:val="20"/>
        </w:rPr>
      </w:pPr>
      <w:r w:rsidRPr="00072B42">
        <w:rPr>
          <w:rFonts w:ascii="Times New Roman" w:hAnsi="Times New Roman" w:cs="Times New Roman"/>
          <w:b/>
          <w:bCs/>
          <w:sz w:val="20"/>
          <w:szCs w:val="20"/>
        </w:rPr>
        <w:t>3.2 Commercial Scale-Up Projection</w:t>
      </w:r>
    </w:p>
    <w:p w14:paraId="123EB81E" w14:textId="77777777" w:rsidR="00C818DA" w:rsidRPr="00C818DA" w:rsidRDefault="005809F4" w:rsidP="005809F4">
      <w:pPr>
        <w:spacing w:line="240" w:lineRule="auto"/>
        <w:jc w:val="both"/>
        <w:rPr>
          <w:rFonts w:ascii="Times New Roman" w:eastAsiaTheme="minorEastAsia" w:hAnsi="Times New Roman" w:cs="Times New Roman"/>
          <w:sz w:val="20"/>
          <w:szCs w:val="20"/>
        </w:rPr>
      </w:pPr>
      <w:r w:rsidRPr="00072B42">
        <w:rPr>
          <w:rFonts w:ascii="Times New Roman" w:hAnsi="Times New Roman" w:cs="Times New Roman"/>
          <w:sz w:val="20"/>
          <w:szCs w:val="20"/>
        </w:rPr>
        <w:t>To project long-term industrial feasibility, a Python-based financial model script was developed to evaluate a 100x commercial capacity scale-up of the baseline pilot data, targeting a 25,000 metric ton annual production volume. Capital asset costs and fixed operating overheads were scaled non-linearly using the standard engineering Six-Tenths capacity rule:</w:t>
      </w:r>
    </w:p>
    <w:p w14:paraId="1C74EDEC" w14:textId="77777777" w:rsidR="00C818DA" w:rsidRDefault="00480AB1" w:rsidP="005809F4">
      <w:pPr>
        <w:spacing w:line="240" w:lineRule="auto"/>
        <w:jc w:val="both"/>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2</m:t>
                          </m:r>
                        </m:sub>
                      </m:sSub>
                    </m:num>
                    <m:den>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den>
                  </m:f>
                </m:e>
              </m:d>
            </m:e>
            <m:sup>
              <m:r>
                <w:rPr>
                  <w:rFonts w:ascii="Cambria Math" w:hAnsi="Cambria Math" w:cs="Times New Roman"/>
                  <w:sz w:val="20"/>
                  <w:szCs w:val="20"/>
                </w:rPr>
                <m:t>0.6</m:t>
              </m:r>
            </m:sup>
          </m:sSup>
        </m:oMath>
      </m:oMathPara>
    </w:p>
    <w:p w14:paraId="6B6C0F9A" w14:textId="281E563F" w:rsidR="005809F4" w:rsidRPr="00072B42"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lastRenderedPageBreak/>
        <w:t xml:space="preserve">Where C₁ represents the baseline pilot asset CAPEX ($5.38 million), V₁ is the baseline pilot capacity, V₂ is the target commercial capacity, and C₂ is the projected commercial capital cost. This non-linear capacity multiplier </w:t>
      </w:r>
      <m:oMath>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100</m:t>
            </m:r>
          </m:e>
          <m:sup>
            <m:r>
              <m:rPr>
                <m:sty m:val="p"/>
              </m:rPr>
              <w:rPr>
                <w:rFonts w:ascii="Cambria Math" w:hAnsi="Cambria Math" w:cs="Times New Roman"/>
                <w:sz w:val="20"/>
                <w:szCs w:val="20"/>
              </w:rPr>
              <m:t>0.6</m:t>
            </m:r>
          </m:sup>
        </m:sSup>
        <m:r>
          <m:rPr>
            <m:sty m:val="p"/>
          </m:rPr>
          <w:rPr>
            <w:rFonts w:ascii="Cambria Math" w:hAnsi="Cambria Math" w:cs="Times New Roman"/>
            <w:sz w:val="20"/>
            <w:szCs w:val="20"/>
          </w:rPr>
          <m:t xml:space="preserve"> = 15.8489) </m:t>
        </m:r>
      </m:oMath>
      <w:r w:rsidRPr="00072B42">
        <w:rPr>
          <w:rFonts w:ascii="Times New Roman" w:hAnsi="Times New Roman" w:cs="Times New Roman"/>
          <w:sz w:val="20"/>
          <w:szCs w:val="20"/>
        </w:rPr>
        <w:t>was applied exclusively to the base CAPEX and fixed labor arrays.</w:t>
      </w:r>
    </w:p>
    <w:p w14:paraId="0881A5A2" w14:textId="74230B6C" w:rsidR="005809F4" w:rsidRDefault="005809F4" w:rsidP="005809F4">
      <w:pPr>
        <w:spacing w:line="240" w:lineRule="auto"/>
        <w:jc w:val="both"/>
        <w:rPr>
          <w:rFonts w:ascii="Times New Roman" w:hAnsi="Times New Roman" w:cs="Times New Roman"/>
          <w:sz w:val="20"/>
          <w:szCs w:val="20"/>
        </w:rPr>
      </w:pPr>
      <w:r w:rsidRPr="00072B42">
        <w:rPr>
          <w:rFonts w:ascii="Times New Roman" w:hAnsi="Times New Roman" w:cs="Times New Roman"/>
          <w:sz w:val="20"/>
          <w:szCs w:val="20"/>
        </w:rPr>
        <w:t>Conversely, plant utility expenses (electricity, process water, and heating duties) were scaled linearly (100×). Annualized capital charges were calculated over a 20-year operational plant lifespan using a 10% discount rate, yielding a constant Capital Recovery Factor (CRF) to accurately amortize fixed overheads against the annual production volume and determine the final Levelized Cost of Fuel (LCOF).</w:t>
      </w:r>
    </w:p>
    <w:p w14:paraId="231606DD" w14:textId="77777777" w:rsidR="004A6AC3" w:rsidRDefault="004A6AC3" w:rsidP="005809F4">
      <w:pPr>
        <w:spacing w:line="240" w:lineRule="auto"/>
        <w:jc w:val="both"/>
        <w:rPr>
          <w:rFonts w:ascii="Times New Roman" w:hAnsi="Times New Roman" w:cs="Times New Roman"/>
          <w:sz w:val="20"/>
          <w:szCs w:val="20"/>
        </w:rPr>
      </w:pPr>
    </w:p>
    <w:p w14:paraId="0C823693" w14:textId="77777777" w:rsidR="004A6AC3" w:rsidRPr="004A6AC3" w:rsidRDefault="004A6AC3" w:rsidP="004A6AC3">
      <w:pPr>
        <w:spacing w:line="240" w:lineRule="auto"/>
        <w:jc w:val="both"/>
        <w:rPr>
          <w:rFonts w:ascii="Times New Roman" w:hAnsi="Times New Roman" w:cs="Times New Roman"/>
          <w:b/>
          <w:bCs/>
        </w:rPr>
      </w:pPr>
      <w:r w:rsidRPr="004A6AC3">
        <w:rPr>
          <w:rFonts w:ascii="Times New Roman" w:hAnsi="Times New Roman" w:cs="Times New Roman"/>
          <w:b/>
          <w:bCs/>
        </w:rPr>
        <w:t>4. Results and Discussion</w:t>
      </w:r>
    </w:p>
    <w:p w14:paraId="7A746EFB"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4.1 Mass Yield and Recycle Loop Optimization</w:t>
      </w:r>
    </w:p>
    <w:p w14:paraId="5FD27B42"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Under initial single-pass open-loop conditions, the simulation achieved a baseline carbon efficiency of 47.24%, indicating a substantial loss of unreacted carbon feedstock through the tail gas. To resolve this operational inefficiency, a continuous gas recycle loop was integrated into the flowsheet canvas. A flow splitter block (SP101) was employed to continuously purge a 5% bleed fraction (PURGE) to prevent the accumulation of inert compounds, while the remaining 95% of the unreacted syngas was routed to a centrifugal compressor (K01). Compressor K01 supplied 170 kW of mechanical shaft power to boost the gas back to the global operating constraint of 25 bar and a temperature of 645°C, discharging it through stream 17 into mixer MX102.</w:t>
      </w:r>
    </w:p>
    <w:p w14:paraId="28CF785B"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 xml:space="preserve">Closing this physical loop introduced severe numerical mass runaway loops and matrix deadlocks when using standard sequential modular solvers. By implementing a custom multivariable </w:t>
      </w:r>
      <w:proofErr w:type="spellStart"/>
      <w:r w:rsidRPr="004A6AC3">
        <w:rPr>
          <w:rFonts w:ascii="Times New Roman" w:hAnsi="Times New Roman" w:cs="Times New Roman"/>
          <w:sz w:val="20"/>
          <w:szCs w:val="20"/>
        </w:rPr>
        <w:t>Broyden</w:t>
      </w:r>
      <w:proofErr w:type="spellEnd"/>
      <w:r w:rsidRPr="004A6AC3">
        <w:rPr>
          <w:rFonts w:ascii="Times New Roman" w:hAnsi="Times New Roman" w:cs="Times New Roman"/>
          <w:sz w:val="20"/>
          <w:szCs w:val="20"/>
        </w:rPr>
        <w:t xml:space="preserve"> simultaneous convergence block (MY-SOLVE) operating with a strict X-tolerance of 0.0001, numerical mass oscillations were successfully dampened and the system stabilized into a mathematically closed, true steady state with a recycle mass flow of 270.46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inside stream S28.</w:t>
      </w:r>
    </w:p>
    <w:p w14:paraId="3A490BAF"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Operating under fixed feedstock constraints of 100.00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of deionized H₂O and 100.00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of captured CO₂ (FEED), the system achieved a steady-state production rate of 31.31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of pure liquid n-dodecane (N-DOD-01) proxy fuel. The rigorous 30-stage distillation column (C101) operating at a 0.22 bar pressure drop isolated the heavy fractions, concentrating the final Sustainable Aviation Fuel (SAF) product stream to an industrial purity of 99.97% by mass. Pure liquid fuel exiting the column bottom was chilled via post-cooler E103 (exchanging –959 </w:t>
      </w:r>
      <w:proofErr w:type="spellStart"/>
      <w:r w:rsidRPr="004A6AC3">
        <w:rPr>
          <w:rFonts w:ascii="Times New Roman" w:hAnsi="Times New Roman" w:cs="Times New Roman"/>
          <w:sz w:val="20"/>
          <w:szCs w:val="20"/>
        </w:rPr>
        <w:t>cal</w:t>
      </w:r>
      <w:proofErr w:type="spellEnd"/>
      <w:r w:rsidRPr="004A6AC3">
        <w:rPr>
          <w:rFonts w:ascii="Times New Roman" w:hAnsi="Times New Roman" w:cs="Times New Roman"/>
          <w:sz w:val="20"/>
          <w:szCs w:val="20"/>
        </w:rPr>
        <w:t>/sec of heat) and routed into the atmospheric product storage drum B3 at 40°C and 1.013 bar. The integrated tail-gas loop successfully captured and polymerized the unreacted syngas intermediates, yielding an overall converged flowsheet carbon efficiency of 97.07%. This confirms that nearly all of the captured carbon entering the facility was successfully trapped inside the liquid fuel matrix rather than lost as process exhaust.</w:t>
      </w:r>
    </w:p>
    <w:p w14:paraId="1F51FD23"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4.2 Energy Demand and Thermodynamic Heat Integration</w:t>
      </w:r>
    </w:p>
    <w:p w14:paraId="2768E2E9"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 xml:space="preserve">The thermodynamic energy balance for the initial water-splitting stage established a theoretical minimum heating duty (enthalpy of reaction, Δ H) of 433.8 kW inside the PEM electrochemical water </w:t>
      </w:r>
      <w:proofErr w:type="spellStart"/>
      <w:r w:rsidRPr="004A6AC3">
        <w:rPr>
          <w:rFonts w:ascii="Times New Roman" w:hAnsi="Times New Roman" w:cs="Times New Roman"/>
          <w:sz w:val="20"/>
          <w:szCs w:val="20"/>
        </w:rPr>
        <w:t>electrolyzer</w:t>
      </w:r>
      <w:proofErr w:type="spellEnd"/>
      <w:r w:rsidRPr="004A6AC3">
        <w:rPr>
          <w:rFonts w:ascii="Times New Roman" w:hAnsi="Times New Roman" w:cs="Times New Roman"/>
          <w:sz w:val="20"/>
          <w:szCs w:val="20"/>
        </w:rPr>
        <w:t xml:space="preserve"> stack (R101) to process the 100.00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pure water feed isothermally at 70°C. Factoring in real-world electrical resistance, cell kinetics, and membrane friction via an industrial stack efficiency of 65% resulted in a required electrical load of 675.18 kW. Normalizing this power draw against the rigorous mass balance yield of 11.06 kg/</w:t>
      </w:r>
      <w:proofErr w:type="spellStart"/>
      <w:r w:rsidRPr="004A6AC3">
        <w:rPr>
          <w:rFonts w:ascii="Times New Roman" w:hAnsi="Times New Roman" w:cs="Times New Roman"/>
          <w:sz w:val="20"/>
          <w:szCs w:val="20"/>
        </w:rPr>
        <w:t>hr</w:t>
      </w:r>
      <w:proofErr w:type="spellEnd"/>
      <w:r w:rsidRPr="004A6AC3">
        <w:rPr>
          <w:rFonts w:ascii="Times New Roman" w:hAnsi="Times New Roman" w:cs="Times New Roman"/>
          <w:sz w:val="20"/>
          <w:szCs w:val="20"/>
        </w:rPr>
        <w:t xml:space="preserve"> of hydrogen gas established a system Specific Energy Consumption (SEC) of 60.38 kWh/kg H₂.</w:t>
      </w:r>
    </w:p>
    <w:p w14:paraId="7DD5CB26"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 xml:space="preserve">Evaluation of the global energy balance via the Aspen Energy Analyzer (AEA) revealed substantial thermodynamic recovery potential. The process-to-process recovery heat exchanger E101 successfully recovered 13,722 </w:t>
      </w:r>
      <w:proofErr w:type="spellStart"/>
      <w:r w:rsidRPr="004A6AC3">
        <w:rPr>
          <w:rFonts w:ascii="Times New Roman" w:hAnsi="Times New Roman" w:cs="Times New Roman"/>
          <w:sz w:val="20"/>
          <w:szCs w:val="20"/>
        </w:rPr>
        <w:t>cal</w:t>
      </w:r>
      <w:proofErr w:type="spellEnd"/>
      <w:r w:rsidRPr="004A6AC3">
        <w:rPr>
          <w:rFonts w:ascii="Times New Roman" w:hAnsi="Times New Roman" w:cs="Times New Roman"/>
          <w:sz w:val="20"/>
          <w:szCs w:val="20"/>
        </w:rPr>
        <w:t xml:space="preserve">/sec (57.41 kW) of thermal energy directly from the hot RWGS effluent to pre-heat the cooler incoming synthesis loop gases, dropping the hot-side stream from 800°C down to 647°C. The global pinch integration analysis verified an available energy savings of 162,600 </w:t>
      </w:r>
      <w:proofErr w:type="spellStart"/>
      <w:r w:rsidRPr="004A6AC3">
        <w:rPr>
          <w:rFonts w:ascii="Times New Roman" w:hAnsi="Times New Roman" w:cs="Times New Roman"/>
          <w:sz w:val="20"/>
          <w:szCs w:val="20"/>
        </w:rPr>
        <w:t>cal</w:t>
      </w:r>
      <w:proofErr w:type="spellEnd"/>
      <w:r w:rsidRPr="004A6AC3">
        <w:rPr>
          <w:rFonts w:ascii="Times New Roman" w:hAnsi="Times New Roman" w:cs="Times New Roman"/>
          <w:sz w:val="20"/>
          <w:szCs w:val="20"/>
        </w:rPr>
        <w:t>/sec, eliminating 60.51% of the baseline thermal utility load and reducing the facility's reliance on external high-pressure steam and cooling water grids.</w:t>
      </w:r>
    </w:p>
    <w:p w14:paraId="0DDF6E17"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4.3 Techno-Economic Analysis (CAPEX and OPEX)</w:t>
      </w:r>
    </w:p>
    <w:p w14:paraId="4F8F1071"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 xml:space="preserve">The finalized flowsheet dimensions, mechanical power draws, and heat duties were linked to the Aspen Process Economic Analyzer (APEA) engine. Capital Expenditures (CAPEX) for major process equipment procurement, </w:t>
      </w:r>
      <w:r w:rsidRPr="004A6AC3">
        <w:rPr>
          <w:rFonts w:ascii="Times New Roman" w:hAnsi="Times New Roman" w:cs="Times New Roman"/>
          <w:sz w:val="20"/>
          <w:szCs w:val="20"/>
        </w:rPr>
        <w:lastRenderedPageBreak/>
        <w:t>reactor components, and physical steel fabrication for the 17.07-meter distillation column closed at a baseline pilot-scale value of $5,378,920 USD.</w:t>
      </w:r>
    </w:p>
    <w:p w14:paraId="3E769FB5"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 xml:space="preserve">Operating Expenditures (OPEX) were evaluated assuming a dedicated utility-scale renewable Power Purchase Agreement (PPA) secured at a wholesale electricity tariff of $0.02/kWh to support the primary 675.18 kW </w:t>
      </w:r>
      <w:proofErr w:type="spellStart"/>
      <w:r w:rsidRPr="004A6AC3">
        <w:rPr>
          <w:rFonts w:ascii="Times New Roman" w:hAnsi="Times New Roman" w:cs="Times New Roman"/>
          <w:sz w:val="20"/>
          <w:szCs w:val="20"/>
        </w:rPr>
        <w:t>electrolyzer</w:t>
      </w:r>
      <w:proofErr w:type="spellEnd"/>
      <w:r w:rsidRPr="004A6AC3">
        <w:rPr>
          <w:rFonts w:ascii="Times New Roman" w:hAnsi="Times New Roman" w:cs="Times New Roman"/>
          <w:sz w:val="20"/>
          <w:szCs w:val="20"/>
        </w:rPr>
        <w:t xml:space="preserve"> stack and the </w:t>
      </w:r>
      <w:proofErr w:type="gramStart"/>
      <w:r w:rsidRPr="004A6AC3">
        <w:rPr>
          <w:rFonts w:ascii="Times New Roman" w:hAnsi="Times New Roman" w:cs="Times New Roman"/>
          <w:sz w:val="20"/>
          <w:szCs w:val="20"/>
        </w:rPr>
        <w:t>170 kW</w:t>
      </w:r>
      <w:proofErr w:type="gramEnd"/>
      <w:r w:rsidRPr="004A6AC3">
        <w:rPr>
          <w:rFonts w:ascii="Times New Roman" w:hAnsi="Times New Roman" w:cs="Times New Roman"/>
          <w:sz w:val="20"/>
          <w:szCs w:val="20"/>
        </w:rPr>
        <w:t xml:space="preserve"> mechanical load of the recycle compressor. Under this co-located renewable envelope, raw energy utility costs were minimized to $45,557 per year. However, fixed overhead charges, including localized plant operator salaries, administrative insurance, and feedstock logistical procurement, drove the Total Annual Operating Cost (OPEX) to $1,770,000 per year. Distributing these annualized costs across the pilot demonstration volume resulted in a baseline pilot Levelized Cost of Fuel (LCOF) of $9.57 per kg.</w:t>
      </w:r>
    </w:p>
    <w:p w14:paraId="67D9C8BB"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To evaluate true industrial market feasibility, the computational financial model applied the standard engineering Six-Tenths scaling algorithm to project a 100x commercial capacity increase, yielding 25,048,000 kg/year of synthetic aviation fuel. The projected commercial CAPEX scaled non-linearly by a factor of 15.85, locking in at $85,250,137. Commercial utility OPEX scaled linearly to $4,555,700/year, while fixed operating costs scaled non-linearly to $27,330,580/year due to the massive dilution of labor overhead. Combining these arrays yielded a Total Projected Commercial OPEX of $31,886,280/year and a Total Annualized Cost of $41,899,727/year. This dilution of fixed capital and labor overheads drove the projected commercial LCOF down to a highly competitive $1.67 per kg.</w:t>
      </w:r>
    </w:p>
    <w:p w14:paraId="28F68FF1"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4.4 Process Scale Performance Summary</w:t>
      </w:r>
    </w:p>
    <w:p w14:paraId="15FCDA82"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To summarize the comparative economic transitions, Table 1 details the core differences between the baseline pilot demonstration scale and the projected commercial-scale facility.</w:t>
      </w:r>
    </w:p>
    <w:p w14:paraId="20576B6B"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Table 1: Process Performance and Techno-Economic Metrics Across Plant Scales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2079"/>
        <w:gridCol w:w="2707"/>
        <w:gridCol w:w="2211"/>
      </w:tblGrid>
      <w:tr w:rsidR="004A6AC3" w:rsidRPr="004A6AC3" w14:paraId="58BC16BB" w14:textId="77777777">
        <w:trPr>
          <w:tblCellSpacing w:w="15" w:type="dxa"/>
        </w:trPr>
        <w:tc>
          <w:tcPr>
            <w:tcW w:w="0" w:type="auto"/>
            <w:tcBorders>
              <w:bottom w:val="single" w:sz="6" w:space="0" w:color="DCDFE5"/>
            </w:tcBorders>
            <w:vAlign w:val="center"/>
            <w:hideMark/>
          </w:tcPr>
          <w:p w14:paraId="54C0B891"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Parameter</w:t>
            </w:r>
          </w:p>
        </w:tc>
        <w:tc>
          <w:tcPr>
            <w:tcW w:w="0" w:type="auto"/>
            <w:tcBorders>
              <w:bottom w:val="single" w:sz="6" w:space="0" w:color="DCDFE5"/>
            </w:tcBorders>
            <w:vAlign w:val="center"/>
            <w:hideMark/>
          </w:tcPr>
          <w:p w14:paraId="00758492"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Pilot Demonstration Scale</w:t>
            </w:r>
          </w:p>
        </w:tc>
        <w:tc>
          <w:tcPr>
            <w:tcW w:w="0" w:type="auto"/>
            <w:tcBorders>
              <w:bottom w:val="single" w:sz="6" w:space="0" w:color="DCDFE5"/>
            </w:tcBorders>
            <w:vAlign w:val="center"/>
            <w:hideMark/>
          </w:tcPr>
          <w:p w14:paraId="376B8C1D"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Projected Commercial Scale (100x)</w:t>
            </w:r>
          </w:p>
        </w:tc>
        <w:tc>
          <w:tcPr>
            <w:tcW w:w="0" w:type="auto"/>
            <w:tcBorders>
              <w:bottom w:val="single" w:sz="6" w:space="0" w:color="DCDFE5"/>
            </w:tcBorders>
            <w:vAlign w:val="center"/>
            <w:hideMark/>
          </w:tcPr>
          <w:p w14:paraId="33EAFB6B" w14:textId="77777777" w:rsidR="004A6AC3" w:rsidRPr="004A6AC3" w:rsidRDefault="004A6AC3" w:rsidP="004A6AC3">
            <w:pPr>
              <w:spacing w:line="240" w:lineRule="auto"/>
              <w:jc w:val="both"/>
              <w:rPr>
                <w:rFonts w:ascii="Times New Roman" w:hAnsi="Times New Roman" w:cs="Times New Roman"/>
                <w:b/>
                <w:bCs/>
                <w:sz w:val="20"/>
                <w:szCs w:val="20"/>
              </w:rPr>
            </w:pPr>
            <w:r w:rsidRPr="004A6AC3">
              <w:rPr>
                <w:rFonts w:ascii="Times New Roman" w:hAnsi="Times New Roman" w:cs="Times New Roman"/>
                <w:b/>
                <w:bCs/>
                <w:sz w:val="20"/>
                <w:szCs w:val="20"/>
              </w:rPr>
              <w:t>Scaling Type</w:t>
            </w:r>
          </w:p>
        </w:tc>
      </w:tr>
      <w:tr w:rsidR="004A6AC3" w:rsidRPr="004A6AC3" w14:paraId="52F4652C" w14:textId="77777777">
        <w:trPr>
          <w:tblCellSpacing w:w="15" w:type="dxa"/>
        </w:trPr>
        <w:tc>
          <w:tcPr>
            <w:tcW w:w="0" w:type="auto"/>
            <w:tcBorders>
              <w:bottom w:val="single" w:sz="6" w:space="0" w:color="DCDFE5"/>
            </w:tcBorders>
            <w:vAlign w:val="center"/>
            <w:hideMark/>
          </w:tcPr>
          <w:p w14:paraId="42C0DC20"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Annual Fuel Production</w:t>
            </w:r>
          </w:p>
        </w:tc>
        <w:tc>
          <w:tcPr>
            <w:tcW w:w="0" w:type="auto"/>
            <w:tcBorders>
              <w:bottom w:val="single" w:sz="6" w:space="0" w:color="DCDFE5"/>
            </w:tcBorders>
            <w:vAlign w:val="center"/>
            <w:hideMark/>
          </w:tcPr>
          <w:p w14:paraId="7BC98972"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250,480 kg/year</w:t>
            </w:r>
          </w:p>
        </w:tc>
        <w:tc>
          <w:tcPr>
            <w:tcW w:w="0" w:type="auto"/>
            <w:tcBorders>
              <w:bottom w:val="single" w:sz="6" w:space="0" w:color="DCDFE5"/>
            </w:tcBorders>
            <w:vAlign w:val="center"/>
            <w:hideMark/>
          </w:tcPr>
          <w:p w14:paraId="7DAAC1BD"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25,048,000 kg/year</w:t>
            </w:r>
          </w:p>
        </w:tc>
        <w:tc>
          <w:tcPr>
            <w:tcW w:w="0" w:type="auto"/>
            <w:tcBorders>
              <w:bottom w:val="single" w:sz="6" w:space="0" w:color="DCDFE5"/>
            </w:tcBorders>
            <w:vAlign w:val="center"/>
            <w:hideMark/>
          </w:tcPr>
          <w:p w14:paraId="1AD75C16"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Target Baseline</w:t>
            </w:r>
          </w:p>
        </w:tc>
      </w:tr>
      <w:tr w:rsidR="004A6AC3" w:rsidRPr="004A6AC3" w14:paraId="6A919EF5" w14:textId="77777777">
        <w:trPr>
          <w:tblCellSpacing w:w="15" w:type="dxa"/>
        </w:trPr>
        <w:tc>
          <w:tcPr>
            <w:tcW w:w="0" w:type="auto"/>
            <w:tcBorders>
              <w:bottom w:val="single" w:sz="6" w:space="0" w:color="DCDFE5"/>
            </w:tcBorders>
            <w:vAlign w:val="center"/>
            <w:hideMark/>
          </w:tcPr>
          <w:p w14:paraId="04DA3722"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Total Plant CAPEX</w:t>
            </w:r>
          </w:p>
        </w:tc>
        <w:tc>
          <w:tcPr>
            <w:tcW w:w="0" w:type="auto"/>
            <w:tcBorders>
              <w:bottom w:val="single" w:sz="6" w:space="0" w:color="DCDFE5"/>
            </w:tcBorders>
            <w:vAlign w:val="center"/>
            <w:hideMark/>
          </w:tcPr>
          <w:p w14:paraId="4281C747"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$5,378,920</w:t>
            </w:r>
          </w:p>
        </w:tc>
        <w:tc>
          <w:tcPr>
            <w:tcW w:w="0" w:type="auto"/>
            <w:tcBorders>
              <w:bottom w:val="single" w:sz="6" w:space="0" w:color="DCDFE5"/>
            </w:tcBorders>
            <w:vAlign w:val="center"/>
            <w:hideMark/>
          </w:tcPr>
          <w:p w14:paraId="07C6C3EA"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$85,250,137</w:t>
            </w:r>
          </w:p>
        </w:tc>
        <w:tc>
          <w:tcPr>
            <w:tcW w:w="0" w:type="auto"/>
            <w:tcBorders>
              <w:bottom w:val="single" w:sz="6" w:space="0" w:color="DCDFE5"/>
            </w:tcBorders>
            <w:vAlign w:val="center"/>
            <w:hideMark/>
          </w:tcPr>
          <w:p w14:paraId="6F56A8AB"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Non-linear (0.6 power law)</w:t>
            </w:r>
          </w:p>
        </w:tc>
      </w:tr>
      <w:tr w:rsidR="004A6AC3" w:rsidRPr="004A6AC3" w14:paraId="091B9510" w14:textId="77777777">
        <w:trPr>
          <w:tblCellSpacing w:w="15" w:type="dxa"/>
        </w:trPr>
        <w:tc>
          <w:tcPr>
            <w:tcW w:w="0" w:type="auto"/>
            <w:tcBorders>
              <w:bottom w:val="single" w:sz="6" w:space="0" w:color="DCDFE5"/>
            </w:tcBorders>
            <w:vAlign w:val="center"/>
            <w:hideMark/>
          </w:tcPr>
          <w:p w14:paraId="6F8BFA23"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Utility OPEX</w:t>
            </w:r>
          </w:p>
        </w:tc>
        <w:tc>
          <w:tcPr>
            <w:tcW w:w="0" w:type="auto"/>
            <w:tcBorders>
              <w:bottom w:val="single" w:sz="6" w:space="0" w:color="DCDFE5"/>
            </w:tcBorders>
            <w:vAlign w:val="center"/>
            <w:hideMark/>
          </w:tcPr>
          <w:p w14:paraId="68080873"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$45,557/year</w:t>
            </w:r>
          </w:p>
        </w:tc>
        <w:tc>
          <w:tcPr>
            <w:tcW w:w="0" w:type="auto"/>
            <w:tcBorders>
              <w:bottom w:val="single" w:sz="6" w:space="0" w:color="DCDFE5"/>
            </w:tcBorders>
            <w:vAlign w:val="center"/>
            <w:hideMark/>
          </w:tcPr>
          <w:p w14:paraId="173907CF"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$4,555,700/year</w:t>
            </w:r>
          </w:p>
        </w:tc>
        <w:tc>
          <w:tcPr>
            <w:tcW w:w="0" w:type="auto"/>
            <w:tcBorders>
              <w:bottom w:val="single" w:sz="6" w:space="0" w:color="DCDFE5"/>
            </w:tcBorders>
            <w:vAlign w:val="center"/>
            <w:hideMark/>
          </w:tcPr>
          <w:p w14:paraId="01ED567C"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Linear (100×)</w:t>
            </w:r>
          </w:p>
        </w:tc>
      </w:tr>
      <w:tr w:rsidR="004A6AC3" w:rsidRPr="004A6AC3" w14:paraId="7CC21369" w14:textId="77777777">
        <w:trPr>
          <w:tblCellSpacing w:w="15" w:type="dxa"/>
        </w:trPr>
        <w:tc>
          <w:tcPr>
            <w:tcW w:w="0" w:type="auto"/>
            <w:tcBorders>
              <w:bottom w:val="single" w:sz="6" w:space="0" w:color="DCDFE5"/>
            </w:tcBorders>
            <w:vAlign w:val="center"/>
            <w:hideMark/>
          </w:tcPr>
          <w:p w14:paraId="02323B45"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Fixed/Labor OPEX</w:t>
            </w:r>
          </w:p>
        </w:tc>
        <w:tc>
          <w:tcPr>
            <w:tcW w:w="0" w:type="auto"/>
            <w:tcBorders>
              <w:bottom w:val="single" w:sz="6" w:space="0" w:color="DCDFE5"/>
            </w:tcBorders>
            <w:vAlign w:val="center"/>
            <w:hideMark/>
          </w:tcPr>
          <w:p w14:paraId="5C186FDE"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$1,724,443/year</w:t>
            </w:r>
          </w:p>
        </w:tc>
        <w:tc>
          <w:tcPr>
            <w:tcW w:w="0" w:type="auto"/>
            <w:tcBorders>
              <w:bottom w:val="single" w:sz="6" w:space="0" w:color="DCDFE5"/>
            </w:tcBorders>
            <w:vAlign w:val="center"/>
            <w:hideMark/>
          </w:tcPr>
          <w:p w14:paraId="30886FDF"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$27,330,580/year</w:t>
            </w:r>
          </w:p>
        </w:tc>
        <w:tc>
          <w:tcPr>
            <w:tcW w:w="0" w:type="auto"/>
            <w:tcBorders>
              <w:bottom w:val="single" w:sz="6" w:space="0" w:color="DCDFE5"/>
            </w:tcBorders>
            <w:vAlign w:val="center"/>
            <w:hideMark/>
          </w:tcPr>
          <w:p w14:paraId="7D3887E3"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Non-linear (Overhead dilution)</w:t>
            </w:r>
          </w:p>
        </w:tc>
      </w:tr>
      <w:tr w:rsidR="004A6AC3" w:rsidRPr="004A6AC3" w14:paraId="1FA64336" w14:textId="77777777">
        <w:trPr>
          <w:tblCellSpacing w:w="15" w:type="dxa"/>
        </w:trPr>
        <w:tc>
          <w:tcPr>
            <w:tcW w:w="0" w:type="auto"/>
            <w:tcBorders>
              <w:bottom w:val="single" w:sz="6" w:space="0" w:color="DCDFE5"/>
            </w:tcBorders>
            <w:vAlign w:val="center"/>
            <w:hideMark/>
          </w:tcPr>
          <w:p w14:paraId="3C6F9E67"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Total Annual OPEX</w:t>
            </w:r>
          </w:p>
        </w:tc>
        <w:tc>
          <w:tcPr>
            <w:tcW w:w="0" w:type="auto"/>
            <w:tcBorders>
              <w:bottom w:val="single" w:sz="6" w:space="0" w:color="DCDFE5"/>
            </w:tcBorders>
            <w:vAlign w:val="center"/>
            <w:hideMark/>
          </w:tcPr>
          <w:p w14:paraId="211CA79E"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$1,770,000/year</w:t>
            </w:r>
          </w:p>
        </w:tc>
        <w:tc>
          <w:tcPr>
            <w:tcW w:w="0" w:type="auto"/>
            <w:tcBorders>
              <w:bottom w:val="single" w:sz="6" w:space="0" w:color="DCDFE5"/>
            </w:tcBorders>
            <w:vAlign w:val="center"/>
            <w:hideMark/>
          </w:tcPr>
          <w:p w14:paraId="635715D6"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$31,886,280/year</w:t>
            </w:r>
          </w:p>
        </w:tc>
        <w:tc>
          <w:tcPr>
            <w:tcW w:w="0" w:type="auto"/>
            <w:tcBorders>
              <w:bottom w:val="single" w:sz="6" w:space="0" w:color="DCDFE5"/>
            </w:tcBorders>
            <w:vAlign w:val="center"/>
            <w:hideMark/>
          </w:tcPr>
          <w:p w14:paraId="1EEDB0D9"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Combined Array</w:t>
            </w:r>
          </w:p>
        </w:tc>
      </w:tr>
      <w:tr w:rsidR="004A6AC3" w:rsidRPr="004A6AC3" w14:paraId="2BE31D8E" w14:textId="77777777">
        <w:trPr>
          <w:tblCellSpacing w:w="15" w:type="dxa"/>
        </w:trPr>
        <w:tc>
          <w:tcPr>
            <w:tcW w:w="0" w:type="auto"/>
            <w:tcBorders>
              <w:bottom w:val="nil"/>
            </w:tcBorders>
            <w:vAlign w:val="center"/>
            <w:hideMark/>
          </w:tcPr>
          <w:p w14:paraId="486D21F1"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Levelized Cost of Fuel (LCOF)</w:t>
            </w:r>
          </w:p>
        </w:tc>
        <w:tc>
          <w:tcPr>
            <w:tcW w:w="0" w:type="auto"/>
            <w:tcBorders>
              <w:bottom w:val="nil"/>
            </w:tcBorders>
            <w:vAlign w:val="center"/>
            <w:hideMark/>
          </w:tcPr>
          <w:p w14:paraId="1DBC04A7"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$9.57/kg</w:t>
            </w:r>
          </w:p>
        </w:tc>
        <w:tc>
          <w:tcPr>
            <w:tcW w:w="0" w:type="auto"/>
            <w:tcBorders>
              <w:bottom w:val="nil"/>
            </w:tcBorders>
            <w:vAlign w:val="center"/>
            <w:hideMark/>
          </w:tcPr>
          <w:p w14:paraId="510B35EF"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b/>
                <w:bCs/>
                <w:sz w:val="20"/>
                <w:szCs w:val="20"/>
              </w:rPr>
              <w:t>$1.67/kg</w:t>
            </w:r>
          </w:p>
        </w:tc>
        <w:tc>
          <w:tcPr>
            <w:tcW w:w="0" w:type="auto"/>
            <w:tcBorders>
              <w:bottom w:val="nil"/>
            </w:tcBorders>
            <w:vAlign w:val="center"/>
            <w:hideMark/>
          </w:tcPr>
          <w:p w14:paraId="362105AA" w14:textId="77777777" w:rsidR="004A6AC3" w:rsidRPr="004A6AC3" w:rsidRDefault="004A6AC3" w:rsidP="004A6AC3">
            <w:pPr>
              <w:spacing w:line="240" w:lineRule="auto"/>
              <w:jc w:val="both"/>
              <w:rPr>
                <w:rFonts w:ascii="Times New Roman" w:hAnsi="Times New Roman" w:cs="Times New Roman"/>
                <w:sz w:val="20"/>
                <w:szCs w:val="20"/>
              </w:rPr>
            </w:pPr>
            <w:r w:rsidRPr="004A6AC3">
              <w:rPr>
                <w:rFonts w:ascii="Times New Roman" w:hAnsi="Times New Roman" w:cs="Times New Roman"/>
                <w:sz w:val="20"/>
                <w:szCs w:val="20"/>
              </w:rPr>
              <w:t>Economic Outcome</w:t>
            </w:r>
          </w:p>
        </w:tc>
      </w:tr>
    </w:tbl>
    <w:p w14:paraId="057EA014" w14:textId="77777777" w:rsidR="004A6AC3" w:rsidRPr="00072B42" w:rsidRDefault="004A6AC3" w:rsidP="005809F4">
      <w:pPr>
        <w:spacing w:line="240" w:lineRule="auto"/>
        <w:jc w:val="both"/>
        <w:rPr>
          <w:rFonts w:ascii="Times New Roman" w:hAnsi="Times New Roman" w:cs="Times New Roman"/>
          <w:sz w:val="20"/>
          <w:szCs w:val="20"/>
        </w:rPr>
      </w:pPr>
    </w:p>
    <w:p w14:paraId="6BFA2365" w14:textId="2FB73FCB" w:rsidR="00634E0E" w:rsidRPr="004A6AC3" w:rsidRDefault="005809F4" w:rsidP="00634E0E">
      <w:pPr>
        <w:spacing w:line="240" w:lineRule="auto"/>
        <w:jc w:val="both"/>
        <w:rPr>
          <w:rFonts w:ascii="Times New Roman" w:hAnsi="Times New Roman" w:cs="Times New Roman"/>
        </w:rPr>
      </w:pPr>
      <w:r w:rsidRPr="004A6AC3">
        <w:rPr>
          <w:rFonts w:ascii="Times New Roman" w:hAnsi="Times New Roman" w:cs="Times New Roman"/>
        </w:rPr>
        <w:br/>
      </w:r>
      <w:r w:rsidR="00634E0E" w:rsidRPr="004A6AC3">
        <w:rPr>
          <w:rFonts w:ascii="Times New Roman" w:hAnsi="Times New Roman" w:cs="Times New Roman"/>
          <w:b/>
          <w:bCs/>
        </w:rPr>
        <w:t>5. Conclusion and Future Work</w:t>
      </w:r>
    </w:p>
    <w:p w14:paraId="762CBCBE" w14:textId="77777777" w:rsidR="00634E0E" w:rsidRPr="00634E0E" w:rsidRDefault="00634E0E" w:rsidP="00634E0E">
      <w:pPr>
        <w:spacing w:line="240" w:lineRule="auto"/>
        <w:jc w:val="both"/>
        <w:rPr>
          <w:rFonts w:ascii="Times New Roman" w:hAnsi="Times New Roman" w:cs="Times New Roman"/>
          <w:b/>
          <w:bCs/>
          <w:sz w:val="20"/>
          <w:szCs w:val="20"/>
        </w:rPr>
      </w:pPr>
      <w:r w:rsidRPr="00634E0E">
        <w:rPr>
          <w:rFonts w:ascii="Times New Roman" w:hAnsi="Times New Roman" w:cs="Times New Roman"/>
          <w:b/>
          <w:bCs/>
          <w:sz w:val="20"/>
          <w:szCs w:val="20"/>
        </w:rPr>
        <w:t>5.1 Conclusion</w:t>
      </w:r>
    </w:p>
    <w:p w14:paraId="2D51CA53" w14:textId="77777777" w:rsidR="00634E0E" w:rsidRPr="00634E0E" w:rsidRDefault="00634E0E" w:rsidP="00634E0E">
      <w:pPr>
        <w:spacing w:line="240" w:lineRule="auto"/>
        <w:jc w:val="both"/>
        <w:rPr>
          <w:rFonts w:ascii="Times New Roman" w:hAnsi="Times New Roman" w:cs="Times New Roman"/>
          <w:sz w:val="20"/>
          <w:szCs w:val="20"/>
        </w:rPr>
      </w:pPr>
      <w:r w:rsidRPr="00634E0E">
        <w:rPr>
          <w:rFonts w:ascii="Times New Roman" w:hAnsi="Times New Roman" w:cs="Times New Roman"/>
          <w:sz w:val="20"/>
          <w:szCs w:val="20"/>
        </w:rPr>
        <w:t>This study validates the thermodynamic viability and economic feasibility of a continuous Power-to-Liquid (</w:t>
      </w:r>
      <w:proofErr w:type="spellStart"/>
      <w:r w:rsidRPr="00634E0E">
        <w:rPr>
          <w:rFonts w:ascii="Times New Roman" w:hAnsi="Times New Roman" w:cs="Times New Roman"/>
          <w:sz w:val="20"/>
          <w:szCs w:val="20"/>
        </w:rPr>
        <w:t>PtL</w:t>
      </w:r>
      <w:proofErr w:type="spellEnd"/>
      <w:r w:rsidRPr="00634E0E">
        <w:rPr>
          <w:rFonts w:ascii="Times New Roman" w:hAnsi="Times New Roman" w:cs="Times New Roman"/>
          <w:sz w:val="20"/>
          <w:szCs w:val="20"/>
        </w:rPr>
        <w:t xml:space="preserve">) Sustainable Aviation Fuel (SAF) pilot facility through rigorous steady-state simulation. By coupling the NRTL property package and Henry’s Law phase modeling with a multivariable </w:t>
      </w:r>
      <w:proofErr w:type="spellStart"/>
      <w:r w:rsidRPr="00634E0E">
        <w:rPr>
          <w:rFonts w:ascii="Times New Roman" w:hAnsi="Times New Roman" w:cs="Times New Roman"/>
          <w:sz w:val="20"/>
          <w:szCs w:val="20"/>
        </w:rPr>
        <w:t>Broyden</w:t>
      </w:r>
      <w:proofErr w:type="spellEnd"/>
      <w:r w:rsidRPr="00634E0E">
        <w:rPr>
          <w:rFonts w:ascii="Times New Roman" w:hAnsi="Times New Roman" w:cs="Times New Roman"/>
          <w:sz w:val="20"/>
          <w:szCs w:val="20"/>
        </w:rPr>
        <w:t xml:space="preserve"> convergence block (MY-SOLVE), the simulation successfully resolved the numerical deadlocks and mass accumulation errors inherent in closed-loop flowsheet convergence. Based on fixed feedstock utility inputs of 100.00 kg/</w:t>
      </w:r>
      <w:proofErr w:type="spellStart"/>
      <w:r w:rsidRPr="00634E0E">
        <w:rPr>
          <w:rFonts w:ascii="Times New Roman" w:hAnsi="Times New Roman" w:cs="Times New Roman"/>
          <w:sz w:val="20"/>
          <w:szCs w:val="20"/>
        </w:rPr>
        <w:t>hr</w:t>
      </w:r>
      <w:proofErr w:type="spellEnd"/>
      <w:r w:rsidRPr="00634E0E">
        <w:rPr>
          <w:rFonts w:ascii="Times New Roman" w:hAnsi="Times New Roman" w:cs="Times New Roman"/>
          <w:sz w:val="20"/>
          <w:szCs w:val="20"/>
        </w:rPr>
        <w:t xml:space="preserve"> of deionized H₂O and 100.00 kg/</w:t>
      </w:r>
      <w:proofErr w:type="spellStart"/>
      <w:r w:rsidRPr="00634E0E">
        <w:rPr>
          <w:rFonts w:ascii="Times New Roman" w:hAnsi="Times New Roman" w:cs="Times New Roman"/>
          <w:sz w:val="20"/>
          <w:szCs w:val="20"/>
        </w:rPr>
        <w:t>hr</w:t>
      </w:r>
      <w:proofErr w:type="spellEnd"/>
      <w:r w:rsidRPr="00634E0E">
        <w:rPr>
          <w:rFonts w:ascii="Times New Roman" w:hAnsi="Times New Roman" w:cs="Times New Roman"/>
          <w:sz w:val="20"/>
          <w:szCs w:val="20"/>
        </w:rPr>
        <w:t xml:space="preserve"> of captured CO₂, the closed-loop system stabilized into a true steady-state recycle mass flow of 270.46 kg/</w:t>
      </w:r>
      <w:proofErr w:type="spellStart"/>
      <w:r w:rsidRPr="00634E0E">
        <w:rPr>
          <w:rFonts w:ascii="Times New Roman" w:hAnsi="Times New Roman" w:cs="Times New Roman"/>
          <w:sz w:val="20"/>
          <w:szCs w:val="20"/>
        </w:rPr>
        <w:t>hr</w:t>
      </w:r>
      <w:proofErr w:type="spellEnd"/>
      <w:r w:rsidRPr="00634E0E">
        <w:rPr>
          <w:rFonts w:ascii="Times New Roman" w:hAnsi="Times New Roman" w:cs="Times New Roman"/>
          <w:sz w:val="20"/>
          <w:szCs w:val="20"/>
        </w:rPr>
        <w:t xml:space="preserve"> inside </w:t>
      </w:r>
      <w:r w:rsidRPr="00634E0E">
        <w:rPr>
          <w:rFonts w:ascii="Times New Roman" w:hAnsi="Times New Roman" w:cs="Times New Roman"/>
          <w:sz w:val="20"/>
          <w:szCs w:val="20"/>
        </w:rPr>
        <w:lastRenderedPageBreak/>
        <w:t>stream S28. The process achieved a continuous production yield of 31.31 kg/</w:t>
      </w:r>
      <w:proofErr w:type="spellStart"/>
      <w:r w:rsidRPr="00634E0E">
        <w:rPr>
          <w:rFonts w:ascii="Times New Roman" w:hAnsi="Times New Roman" w:cs="Times New Roman"/>
          <w:sz w:val="20"/>
          <w:szCs w:val="20"/>
        </w:rPr>
        <w:t>hr</w:t>
      </w:r>
      <w:proofErr w:type="spellEnd"/>
      <w:r w:rsidRPr="00634E0E">
        <w:rPr>
          <w:rFonts w:ascii="Times New Roman" w:hAnsi="Times New Roman" w:cs="Times New Roman"/>
          <w:sz w:val="20"/>
          <w:szCs w:val="20"/>
        </w:rPr>
        <w:t xml:space="preserve"> of pure liquid n-dodecane proxy fuel at an industrial purity of 99.97% by mass, locking in an overall flowsheet carbon atom efficiency of 97.07%.</w:t>
      </w:r>
    </w:p>
    <w:p w14:paraId="35CB8B06" w14:textId="77777777" w:rsidR="00634E0E" w:rsidRPr="00634E0E" w:rsidRDefault="00634E0E" w:rsidP="00634E0E">
      <w:pPr>
        <w:spacing w:line="240" w:lineRule="auto"/>
        <w:jc w:val="both"/>
        <w:rPr>
          <w:rFonts w:ascii="Times New Roman" w:hAnsi="Times New Roman" w:cs="Times New Roman"/>
          <w:sz w:val="20"/>
          <w:szCs w:val="20"/>
        </w:rPr>
      </w:pPr>
      <w:r w:rsidRPr="00634E0E">
        <w:rPr>
          <w:rFonts w:ascii="Times New Roman" w:hAnsi="Times New Roman" w:cs="Times New Roman"/>
          <w:sz w:val="20"/>
          <w:szCs w:val="20"/>
        </w:rPr>
        <w:t xml:space="preserve">Thermodynamic optimization via Pinch Analysis principles successfully mapped the process-to-process heat recovery network using exchanger E101. Cross-exchanging 13,722 </w:t>
      </w:r>
      <w:proofErr w:type="spellStart"/>
      <w:r w:rsidRPr="00634E0E">
        <w:rPr>
          <w:rFonts w:ascii="Times New Roman" w:hAnsi="Times New Roman" w:cs="Times New Roman"/>
          <w:sz w:val="20"/>
          <w:szCs w:val="20"/>
        </w:rPr>
        <w:t>cal</w:t>
      </w:r>
      <w:proofErr w:type="spellEnd"/>
      <w:r w:rsidRPr="00634E0E">
        <w:rPr>
          <w:rFonts w:ascii="Times New Roman" w:hAnsi="Times New Roman" w:cs="Times New Roman"/>
          <w:sz w:val="20"/>
          <w:szCs w:val="20"/>
        </w:rPr>
        <w:t>/sec of thermal energy directly from the hot Reverse Water-Gas Shift (</w:t>
      </w:r>
      <w:proofErr w:type="spellStart"/>
      <w:r w:rsidRPr="00634E0E">
        <w:rPr>
          <w:rFonts w:ascii="Times New Roman" w:hAnsi="Times New Roman" w:cs="Times New Roman"/>
          <w:sz w:val="20"/>
          <w:szCs w:val="20"/>
        </w:rPr>
        <w:t>REquil</w:t>
      </w:r>
      <w:proofErr w:type="spellEnd"/>
      <w:r w:rsidRPr="00634E0E">
        <w:rPr>
          <w:rFonts w:ascii="Times New Roman" w:hAnsi="Times New Roman" w:cs="Times New Roman"/>
          <w:sz w:val="20"/>
          <w:szCs w:val="20"/>
        </w:rPr>
        <w:t xml:space="preserve">, tagged as R102) effluent to pre-heat the incoming synthesis loop gases eliminated 60.51% of the baseline thermal utility demand. This heat integration strategy verified an available energy recovery potential of 162,600 </w:t>
      </w:r>
      <w:proofErr w:type="spellStart"/>
      <w:r w:rsidRPr="00634E0E">
        <w:rPr>
          <w:rFonts w:ascii="Times New Roman" w:hAnsi="Times New Roman" w:cs="Times New Roman"/>
          <w:sz w:val="20"/>
          <w:szCs w:val="20"/>
        </w:rPr>
        <w:t>cal</w:t>
      </w:r>
      <w:proofErr w:type="spellEnd"/>
      <w:r w:rsidRPr="00634E0E">
        <w:rPr>
          <w:rFonts w:ascii="Times New Roman" w:hAnsi="Times New Roman" w:cs="Times New Roman"/>
          <w:sz w:val="20"/>
          <w:szCs w:val="20"/>
        </w:rPr>
        <w:t xml:space="preserve">/sec, drastically minimizing reliance on external high-pressure steam and cooling water infrastructure. Furthermore, the frontend Proton Exchange Membrane (PEM) </w:t>
      </w:r>
      <w:proofErr w:type="spellStart"/>
      <w:r w:rsidRPr="00634E0E">
        <w:rPr>
          <w:rFonts w:ascii="Times New Roman" w:hAnsi="Times New Roman" w:cs="Times New Roman"/>
          <w:sz w:val="20"/>
          <w:szCs w:val="20"/>
        </w:rPr>
        <w:t>electrolyzer</w:t>
      </w:r>
      <w:proofErr w:type="spellEnd"/>
      <w:r w:rsidRPr="00634E0E">
        <w:rPr>
          <w:rFonts w:ascii="Times New Roman" w:hAnsi="Times New Roman" w:cs="Times New Roman"/>
          <w:sz w:val="20"/>
          <w:szCs w:val="20"/>
        </w:rPr>
        <w:t xml:space="preserve"> (</w:t>
      </w:r>
      <w:proofErr w:type="spellStart"/>
      <w:r w:rsidRPr="00634E0E">
        <w:rPr>
          <w:rFonts w:ascii="Times New Roman" w:hAnsi="Times New Roman" w:cs="Times New Roman"/>
          <w:sz w:val="20"/>
          <w:szCs w:val="20"/>
        </w:rPr>
        <w:t>RStoic</w:t>
      </w:r>
      <w:proofErr w:type="spellEnd"/>
      <w:r w:rsidRPr="00634E0E">
        <w:rPr>
          <w:rFonts w:ascii="Times New Roman" w:hAnsi="Times New Roman" w:cs="Times New Roman"/>
          <w:sz w:val="20"/>
          <w:szCs w:val="20"/>
        </w:rPr>
        <w:t>, tagged as R101) required an electrical capacity load of 675.18 kW, yielding a system Specific Energy Consumption (SEC) of 60.38 kWh/kg H₂ which dictates the foundational manufacturing cost baseline for the green hydrogen utility feed.</w:t>
      </w:r>
    </w:p>
    <w:p w14:paraId="5CA139D9" w14:textId="77777777" w:rsidR="00634E0E" w:rsidRPr="00634E0E" w:rsidRDefault="00634E0E" w:rsidP="00634E0E">
      <w:pPr>
        <w:spacing w:line="240" w:lineRule="auto"/>
        <w:jc w:val="both"/>
        <w:rPr>
          <w:rFonts w:ascii="Times New Roman" w:hAnsi="Times New Roman" w:cs="Times New Roman"/>
          <w:sz w:val="20"/>
          <w:szCs w:val="20"/>
        </w:rPr>
      </w:pPr>
      <w:r w:rsidRPr="00634E0E">
        <w:rPr>
          <w:rFonts w:ascii="Times New Roman" w:hAnsi="Times New Roman" w:cs="Times New Roman"/>
          <w:sz w:val="20"/>
          <w:szCs w:val="20"/>
        </w:rPr>
        <w:t>Techno-economically, linking the physical equipment parameters to the Aspen Process Economic Analyzer (APEA) engine established a baseline pilot plant CAPEX of $5,378,920 and a utility OPEX of $45,557/year, leading to an initial pilot Levelized Cost of Fuel (LCOF) of $9.57/kg. Projecting a 100x industrial scale-up utilizing the standard engineering Six-Tenths capacity rule demonstrated a stark transition, driving the commercial LCOF down to a highly competitive $1.67/kg across a 25,048 metric ton annual production volume. This financial model proves that the non-linear scaling of capital assets and fixed labor arrays successfully bypasses the low-yield economic bottleneck of small-scale systems. Consequently, when paired with a utility-scale $0.02/kWh renewable Power Purchase Agreement (PPA), synthetic aviation hydrocarbons can achieve long-term market competitiveness within clean energy pricing boundaries.</w:t>
      </w:r>
    </w:p>
    <w:p w14:paraId="30351D6A" w14:textId="77777777" w:rsidR="00634E0E" w:rsidRPr="00634E0E" w:rsidRDefault="00634E0E" w:rsidP="00634E0E">
      <w:pPr>
        <w:spacing w:line="240" w:lineRule="auto"/>
        <w:jc w:val="both"/>
        <w:rPr>
          <w:rFonts w:ascii="Times New Roman" w:hAnsi="Times New Roman" w:cs="Times New Roman"/>
          <w:b/>
          <w:bCs/>
          <w:sz w:val="20"/>
          <w:szCs w:val="20"/>
        </w:rPr>
      </w:pPr>
      <w:r w:rsidRPr="00634E0E">
        <w:rPr>
          <w:rFonts w:ascii="Times New Roman" w:hAnsi="Times New Roman" w:cs="Times New Roman"/>
          <w:b/>
          <w:bCs/>
          <w:sz w:val="20"/>
          <w:szCs w:val="20"/>
        </w:rPr>
        <w:t>5.2 Future Work</w:t>
      </w:r>
    </w:p>
    <w:p w14:paraId="00B62E59" w14:textId="77777777" w:rsidR="00634E0E" w:rsidRPr="00634E0E" w:rsidRDefault="00634E0E" w:rsidP="00634E0E">
      <w:pPr>
        <w:spacing w:line="240" w:lineRule="auto"/>
        <w:jc w:val="both"/>
        <w:rPr>
          <w:rFonts w:ascii="Times New Roman" w:hAnsi="Times New Roman" w:cs="Times New Roman"/>
          <w:sz w:val="20"/>
          <w:szCs w:val="20"/>
        </w:rPr>
      </w:pPr>
      <w:r w:rsidRPr="00634E0E">
        <w:rPr>
          <w:rFonts w:ascii="Times New Roman" w:hAnsi="Times New Roman" w:cs="Times New Roman"/>
          <w:sz w:val="20"/>
          <w:szCs w:val="20"/>
        </w:rPr>
        <w:t>Future work will focus on transitioning the current steady-state flowsheet model into a transient dynamic simulation environment. This dynamic deployment is required to verify the physical control stability and control margins of the targeted 60.51% thermal energy savings network under variable renewable power inputs from co-located solar and wind assets.</w:t>
      </w:r>
    </w:p>
    <w:p w14:paraId="681CC0B4" w14:textId="77777777" w:rsidR="00634E0E" w:rsidRDefault="00634E0E" w:rsidP="00634E0E">
      <w:pPr>
        <w:spacing w:line="240" w:lineRule="auto"/>
        <w:jc w:val="both"/>
        <w:rPr>
          <w:rFonts w:ascii="Times New Roman" w:hAnsi="Times New Roman" w:cs="Times New Roman"/>
          <w:sz w:val="20"/>
          <w:szCs w:val="20"/>
        </w:rPr>
      </w:pPr>
      <w:r w:rsidRPr="00634E0E">
        <w:rPr>
          <w:rFonts w:ascii="Times New Roman" w:hAnsi="Times New Roman" w:cs="Times New Roman"/>
          <w:sz w:val="20"/>
          <w:szCs w:val="20"/>
        </w:rPr>
        <w:t xml:space="preserve">Additionally, automated Sensitivity Blocks and Design Specifications will be deployed within the simulation loop to continuously modulate the SP101 flow splitter block split fraction based on real-time loop composition. This advanced optimization layer will map the exact multi-variable margin between incremental product recovery revenues and the parasitic electrical workloads of the </w:t>
      </w:r>
      <w:proofErr w:type="gramStart"/>
      <w:r w:rsidRPr="00634E0E">
        <w:rPr>
          <w:rFonts w:ascii="Times New Roman" w:hAnsi="Times New Roman" w:cs="Times New Roman"/>
          <w:sz w:val="20"/>
          <w:szCs w:val="20"/>
        </w:rPr>
        <w:t>170 kW</w:t>
      </w:r>
      <w:proofErr w:type="gramEnd"/>
      <w:r w:rsidRPr="00634E0E">
        <w:rPr>
          <w:rFonts w:ascii="Times New Roman" w:hAnsi="Times New Roman" w:cs="Times New Roman"/>
          <w:sz w:val="20"/>
          <w:szCs w:val="20"/>
        </w:rPr>
        <w:t xml:space="preserve"> centrifugal recycle compressor (K01), further minimizing the system's levelized production costs.</w:t>
      </w:r>
    </w:p>
    <w:p w14:paraId="711C4E05" w14:textId="77777777" w:rsidR="00516BFF" w:rsidRDefault="00516BFF" w:rsidP="00634E0E">
      <w:pPr>
        <w:spacing w:line="240" w:lineRule="auto"/>
        <w:jc w:val="both"/>
        <w:rPr>
          <w:rFonts w:ascii="Times New Roman" w:hAnsi="Times New Roman" w:cs="Times New Roman"/>
          <w:sz w:val="20"/>
          <w:szCs w:val="20"/>
        </w:rPr>
      </w:pPr>
    </w:p>
    <w:p w14:paraId="345D4DD4" w14:textId="77777777" w:rsidR="00516BFF" w:rsidRPr="00516BFF" w:rsidRDefault="00516BFF" w:rsidP="00516BFF">
      <w:pPr>
        <w:spacing w:line="240" w:lineRule="auto"/>
        <w:jc w:val="both"/>
        <w:rPr>
          <w:rFonts w:ascii="Times New Roman" w:hAnsi="Times New Roman" w:cs="Times New Roman"/>
          <w:b/>
          <w:bCs/>
        </w:rPr>
      </w:pPr>
      <w:r w:rsidRPr="00516BFF">
        <w:rPr>
          <w:rFonts w:ascii="Times New Roman" w:hAnsi="Times New Roman" w:cs="Times New Roman"/>
          <w:b/>
          <w:bCs/>
        </w:rPr>
        <w:t>References</w:t>
      </w:r>
    </w:p>
    <w:p w14:paraId="7A7F868B" w14:textId="70264074" w:rsidR="00516BFF" w:rsidRPr="00516BFF" w:rsidRDefault="00516BFF" w:rsidP="00516BFF">
      <w:pPr>
        <w:spacing w:line="240" w:lineRule="auto"/>
        <w:jc w:val="both"/>
        <w:rPr>
          <w:rFonts w:ascii="Times New Roman" w:hAnsi="Times New Roman" w:cs="Times New Roman"/>
          <w:sz w:val="20"/>
          <w:szCs w:val="20"/>
        </w:rPr>
      </w:pPr>
      <w:r w:rsidRPr="00516BFF">
        <w:rPr>
          <w:rFonts w:ascii="Times New Roman" w:hAnsi="Times New Roman" w:cs="Times New Roman"/>
          <w:sz w:val="20"/>
          <w:szCs w:val="20"/>
        </w:rPr>
        <w:t xml:space="preserve">[1] Aspen Technology, Inc., </w:t>
      </w:r>
      <w:r w:rsidRPr="00516BFF">
        <w:rPr>
          <w:rFonts w:ascii="Times New Roman" w:hAnsi="Times New Roman" w:cs="Times New Roman"/>
          <w:i/>
          <w:iCs/>
          <w:sz w:val="20"/>
          <w:szCs w:val="20"/>
        </w:rPr>
        <w:t>Aspen Physical Property System: Physical Property Methods and Models Referenc</w:t>
      </w:r>
      <w:r w:rsidR="00A10251">
        <w:rPr>
          <w:rFonts w:ascii="Times New Roman" w:hAnsi="Times New Roman" w:cs="Times New Roman"/>
          <w:i/>
          <w:iCs/>
          <w:sz w:val="20"/>
          <w:szCs w:val="20"/>
        </w:rPr>
        <w:t xml:space="preserve">e </w:t>
      </w:r>
      <w:r w:rsidR="00A10251" w:rsidRPr="00A10251">
        <w:rPr>
          <w:rFonts w:ascii="Times New Roman" w:hAnsi="Times New Roman" w:cs="Times New Roman"/>
          <w:i/>
          <w:iCs/>
          <w:sz w:val="20"/>
          <w:szCs w:val="20"/>
        </w:rPr>
        <w:t xml:space="preserve">Manual, Bedford, MA, USA: </w:t>
      </w:r>
      <w:proofErr w:type="spellStart"/>
      <w:r w:rsidR="00A10251" w:rsidRPr="00A10251">
        <w:rPr>
          <w:rFonts w:ascii="Times New Roman" w:hAnsi="Times New Roman" w:cs="Times New Roman"/>
          <w:i/>
          <w:iCs/>
          <w:sz w:val="20"/>
          <w:szCs w:val="20"/>
        </w:rPr>
        <w:t>AspenTech</w:t>
      </w:r>
      <w:proofErr w:type="spellEnd"/>
      <w:r w:rsidR="00A10251" w:rsidRPr="00A10251">
        <w:rPr>
          <w:rFonts w:ascii="Times New Roman" w:hAnsi="Times New Roman" w:cs="Times New Roman"/>
          <w:i/>
          <w:iCs/>
          <w:sz w:val="20"/>
          <w:szCs w:val="20"/>
        </w:rPr>
        <w:t>, 2024.</w:t>
      </w:r>
      <w:r w:rsidRPr="00516BFF">
        <w:rPr>
          <w:rFonts w:ascii="Times New Roman" w:hAnsi="Times New Roman" w:cs="Times New Roman"/>
          <w:i/>
          <w:iCs/>
          <w:sz w:val="20"/>
          <w:szCs w:val="20"/>
        </w:rPr>
        <w:t xml:space="preserve"> </w:t>
      </w:r>
      <w:r w:rsidRPr="00516BFF">
        <w:rPr>
          <w:rFonts w:ascii="Times New Roman" w:hAnsi="Times New Roman" w:cs="Times New Roman"/>
          <w:sz w:val="20"/>
          <w:szCs w:val="20"/>
        </w:rPr>
        <w:br/>
        <w:t xml:space="preserve">[2] M. Carmo, D. L. Fritz, J. Mergel, and D. Stolten, "A comprehensive review on PEM water electrolysis," </w:t>
      </w:r>
      <w:r w:rsidRPr="00516BFF">
        <w:rPr>
          <w:rFonts w:ascii="Times New Roman" w:hAnsi="Times New Roman" w:cs="Times New Roman"/>
          <w:i/>
          <w:iCs/>
          <w:sz w:val="20"/>
          <w:szCs w:val="20"/>
        </w:rPr>
        <w:t>International Journal of Hydrogen Energy</w:t>
      </w:r>
      <w:r w:rsidRPr="00516BFF">
        <w:rPr>
          <w:rFonts w:ascii="Times New Roman" w:hAnsi="Times New Roman" w:cs="Times New Roman"/>
          <w:sz w:val="20"/>
          <w:szCs w:val="20"/>
        </w:rPr>
        <w:t>, vol. 38, no. 12, pp. 4901-4934, Apr. 2013. [Online]. Available: ScienceDirect. doi.org</w:t>
      </w:r>
      <w:r w:rsidRPr="00516BFF">
        <w:rPr>
          <w:rFonts w:ascii="Times New Roman" w:hAnsi="Times New Roman" w:cs="Times New Roman"/>
          <w:sz w:val="20"/>
          <w:szCs w:val="20"/>
        </w:rPr>
        <w:br/>
        <w:t xml:space="preserve">[3] R. H. Perry and D. W. Green, </w:t>
      </w:r>
      <w:r w:rsidRPr="00516BFF">
        <w:rPr>
          <w:rFonts w:ascii="Times New Roman" w:hAnsi="Times New Roman" w:cs="Times New Roman"/>
          <w:i/>
          <w:iCs/>
          <w:sz w:val="20"/>
          <w:szCs w:val="20"/>
        </w:rPr>
        <w:t>Perry's Chemical Engineers' Handbook</w:t>
      </w:r>
      <w:r w:rsidRPr="00516BFF">
        <w:rPr>
          <w:rFonts w:ascii="Times New Roman" w:hAnsi="Times New Roman" w:cs="Times New Roman"/>
          <w:sz w:val="20"/>
          <w:szCs w:val="20"/>
        </w:rPr>
        <w:t>, 9th ed. New York, NY, USA: McGraw-Hill Education, 2018.</w:t>
      </w:r>
      <w:r w:rsidRPr="00516BFF">
        <w:rPr>
          <w:rFonts w:ascii="Times New Roman" w:hAnsi="Times New Roman" w:cs="Times New Roman"/>
          <w:sz w:val="20"/>
          <w:szCs w:val="20"/>
        </w:rPr>
        <w:br/>
        <w:t xml:space="preserve">[4] A. </w:t>
      </w:r>
      <w:proofErr w:type="spellStart"/>
      <w:r w:rsidRPr="00516BFF">
        <w:rPr>
          <w:rFonts w:ascii="Times New Roman" w:hAnsi="Times New Roman" w:cs="Times New Roman"/>
          <w:sz w:val="20"/>
          <w:szCs w:val="20"/>
        </w:rPr>
        <w:t>Steynberg</w:t>
      </w:r>
      <w:proofErr w:type="spellEnd"/>
      <w:r w:rsidRPr="00516BFF">
        <w:rPr>
          <w:rFonts w:ascii="Times New Roman" w:hAnsi="Times New Roman" w:cs="Times New Roman"/>
          <w:sz w:val="20"/>
          <w:szCs w:val="20"/>
        </w:rPr>
        <w:t xml:space="preserve"> and M. Dry, </w:t>
      </w:r>
      <w:r w:rsidRPr="00516BFF">
        <w:rPr>
          <w:rFonts w:ascii="Times New Roman" w:hAnsi="Times New Roman" w:cs="Times New Roman"/>
          <w:i/>
          <w:iCs/>
          <w:sz w:val="20"/>
          <w:szCs w:val="20"/>
        </w:rPr>
        <w:t>Fischer-</w:t>
      </w:r>
      <w:proofErr w:type="spellStart"/>
      <w:r w:rsidRPr="00516BFF">
        <w:rPr>
          <w:rFonts w:ascii="Times New Roman" w:hAnsi="Times New Roman" w:cs="Times New Roman"/>
          <w:i/>
          <w:iCs/>
          <w:sz w:val="20"/>
          <w:szCs w:val="20"/>
        </w:rPr>
        <w:t>Tropsch</w:t>
      </w:r>
      <w:proofErr w:type="spellEnd"/>
      <w:r w:rsidRPr="00516BFF">
        <w:rPr>
          <w:rFonts w:ascii="Times New Roman" w:hAnsi="Times New Roman" w:cs="Times New Roman"/>
          <w:i/>
          <w:iCs/>
          <w:sz w:val="20"/>
          <w:szCs w:val="20"/>
        </w:rPr>
        <w:t xml:space="preserve"> Technology</w:t>
      </w:r>
      <w:r w:rsidRPr="00516BFF">
        <w:rPr>
          <w:rFonts w:ascii="Times New Roman" w:hAnsi="Times New Roman" w:cs="Times New Roman"/>
          <w:sz w:val="20"/>
          <w:szCs w:val="20"/>
        </w:rPr>
        <w:t>, Amsterdam, Netherlands: Elsevier, 2004.</w:t>
      </w:r>
      <w:r w:rsidRPr="00516BFF">
        <w:rPr>
          <w:rFonts w:ascii="Times New Roman" w:hAnsi="Times New Roman" w:cs="Times New Roman"/>
          <w:sz w:val="20"/>
          <w:szCs w:val="20"/>
        </w:rPr>
        <w:br/>
        <w:t xml:space="preserve">[5] C. N. Satterfield, </w:t>
      </w:r>
      <w:r w:rsidRPr="00516BFF">
        <w:rPr>
          <w:rFonts w:ascii="Times New Roman" w:hAnsi="Times New Roman" w:cs="Times New Roman"/>
          <w:i/>
          <w:iCs/>
          <w:sz w:val="20"/>
          <w:szCs w:val="20"/>
        </w:rPr>
        <w:t>Heterogeneous Catalysis in Industrial Practice</w:t>
      </w:r>
      <w:r w:rsidRPr="00516BFF">
        <w:rPr>
          <w:rFonts w:ascii="Times New Roman" w:hAnsi="Times New Roman" w:cs="Times New Roman"/>
          <w:sz w:val="20"/>
          <w:szCs w:val="20"/>
        </w:rPr>
        <w:t>, 2nd ed. New York, NY, USA: McGraw-Hill, 1991.</w:t>
      </w:r>
      <w:r w:rsidRPr="00516BFF">
        <w:rPr>
          <w:rFonts w:ascii="Times New Roman" w:hAnsi="Times New Roman" w:cs="Times New Roman"/>
          <w:sz w:val="20"/>
          <w:szCs w:val="20"/>
        </w:rPr>
        <w:br/>
        <w:t xml:space="preserve">[6] V. Dieterich, A. Hanel, S. Fendt, and O. </w:t>
      </w:r>
      <w:proofErr w:type="spellStart"/>
      <w:r w:rsidRPr="00516BFF">
        <w:rPr>
          <w:rFonts w:ascii="Times New Roman" w:hAnsi="Times New Roman" w:cs="Times New Roman"/>
          <w:sz w:val="20"/>
          <w:szCs w:val="20"/>
        </w:rPr>
        <w:t>Spliethoff</w:t>
      </w:r>
      <w:proofErr w:type="spellEnd"/>
      <w:r w:rsidRPr="00516BFF">
        <w:rPr>
          <w:rFonts w:ascii="Times New Roman" w:hAnsi="Times New Roman" w:cs="Times New Roman"/>
          <w:sz w:val="20"/>
          <w:szCs w:val="20"/>
        </w:rPr>
        <w:t xml:space="preserve">, "Power-to-Liquid: A review of technological development and chemical composition of synthetic kerosene," </w:t>
      </w:r>
      <w:r w:rsidRPr="00516BFF">
        <w:rPr>
          <w:rFonts w:ascii="Times New Roman" w:hAnsi="Times New Roman" w:cs="Times New Roman"/>
          <w:i/>
          <w:iCs/>
          <w:sz w:val="20"/>
          <w:szCs w:val="20"/>
        </w:rPr>
        <w:t>Applied Energy</w:t>
      </w:r>
      <w:r w:rsidRPr="00516BFF">
        <w:rPr>
          <w:rFonts w:ascii="Times New Roman" w:hAnsi="Times New Roman" w:cs="Times New Roman"/>
          <w:sz w:val="20"/>
          <w:szCs w:val="20"/>
        </w:rPr>
        <w:t>, vol. 267, p. 114872, Jun. 2020. [Online]. Available: ScienceDirect. doi.org</w:t>
      </w:r>
      <w:r w:rsidRPr="00516BFF">
        <w:rPr>
          <w:rFonts w:ascii="Times New Roman" w:hAnsi="Times New Roman" w:cs="Times New Roman"/>
          <w:sz w:val="20"/>
          <w:szCs w:val="20"/>
        </w:rPr>
        <w:br/>
        <w:t xml:space="preserve">[7] P. Schmidt, V. Batteiger, A. Roth, W. Weindorf, and T. Raksha, "Power-to-Liquids as a Sustainable Pathway for Aviation: Operational Principles and Economic Realities," </w:t>
      </w:r>
      <w:r w:rsidRPr="00516BFF">
        <w:rPr>
          <w:rFonts w:ascii="Times New Roman" w:hAnsi="Times New Roman" w:cs="Times New Roman"/>
          <w:i/>
          <w:iCs/>
          <w:sz w:val="20"/>
          <w:szCs w:val="20"/>
        </w:rPr>
        <w:t>Frontiers in Energy Research</w:t>
      </w:r>
      <w:r w:rsidRPr="00516BFF">
        <w:rPr>
          <w:rFonts w:ascii="Times New Roman" w:hAnsi="Times New Roman" w:cs="Times New Roman"/>
          <w:sz w:val="20"/>
          <w:szCs w:val="20"/>
        </w:rPr>
        <w:t>, vol. 6, p. 109, Oct. 2018. [Online]. Available: Frontiers. doi.org</w:t>
      </w:r>
      <w:r w:rsidRPr="00516BFF">
        <w:rPr>
          <w:rFonts w:ascii="Times New Roman" w:hAnsi="Times New Roman" w:cs="Times New Roman"/>
          <w:sz w:val="20"/>
          <w:szCs w:val="20"/>
        </w:rPr>
        <w:br/>
        <w:t xml:space="preserve">[8] International Renewable Energy Agency (IRENA), "Green Hydrogen Cost Reduction: Scaling up </w:t>
      </w:r>
      <w:proofErr w:type="spellStart"/>
      <w:r w:rsidRPr="00516BFF">
        <w:rPr>
          <w:rFonts w:ascii="Times New Roman" w:hAnsi="Times New Roman" w:cs="Times New Roman"/>
          <w:sz w:val="20"/>
          <w:szCs w:val="20"/>
        </w:rPr>
        <w:t>Electrolysers</w:t>
      </w:r>
      <w:proofErr w:type="spellEnd"/>
      <w:r w:rsidRPr="00516BFF">
        <w:rPr>
          <w:rFonts w:ascii="Times New Roman" w:hAnsi="Times New Roman" w:cs="Times New Roman"/>
          <w:sz w:val="20"/>
          <w:szCs w:val="20"/>
        </w:rPr>
        <w:t xml:space="preserve"> to Meet the 1.5°C Climate Goal," IRENA, Abu Dhabi, UAE, Tech. Rep., 2022.</w:t>
      </w:r>
      <w:r w:rsidRPr="00516BFF">
        <w:rPr>
          <w:rFonts w:ascii="Times New Roman" w:hAnsi="Times New Roman" w:cs="Times New Roman"/>
          <w:sz w:val="20"/>
          <w:szCs w:val="20"/>
        </w:rPr>
        <w:br/>
        <w:t xml:space="preserve">[9] R. Turton, J. A. Shaeiwitz, D. Bhattacharyya, and W. B. Whiting, </w:t>
      </w:r>
      <w:r w:rsidRPr="00516BFF">
        <w:rPr>
          <w:rFonts w:ascii="Times New Roman" w:hAnsi="Times New Roman" w:cs="Times New Roman"/>
          <w:i/>
          <w:iCs/>
          <w:sz w:val="20"/>
          <w:szCs w:val="20"/>
        </w:rPr>
        <w:t xml:space="preserve">Analysis, Synthesis, and Design of Chemical </w:t>
      </w:r>
      <w:r w:rsidRPr="00516BFF">
        <w:rPr>
          <w:rFonts w:ascii="Times New Roman" w:hAnsi="Times New Roman" w:cs="Times New Roman"/>
          <w:i/>
          <w:iCs/>
          <w:sz w:val="20"/>
          <w:szCs w:val="20"/>
        </w:rPr>
        <w:lastRenderedPageBreak/>
        <w:t>Processes</w:t>
      </w:r>
      <w:r w:rsidRPr="00516BFF">
        <w:rPr>
          <w:rFonts w:ascii="Times New Roman" w:hAnsi="Times New Roman" w:cs="Times New Roman"/>
          <w:sz w:val="20"/>
          <w:szCs w:val="20"/>
        </w:rPr>
        <w:t>, 5th ed. Upper Saddle River, NJ, USA: Prentice Hall, 2018.</w:t>
      </w:r>
      <w:r w:rsidRPr="00516BFF">
        <w:rPr>
          <w:rFonts w:ascii="Times New Roman" w:hAnsi="Times New Roman" w:cs="Times New Roman"/>
          <w:sz w:val="20"/>
          <w:szCs w:val="20"/>
        </w:rPr>
        <w:br/>
        <w:t xml:space="preserve">[10] M. S. Peters, K. D. </w:t>
      </w:r>
      <w:proofErr w:type="spellStart"/>
      <w:r w:rsidRPr="00516BFF">
        <w:rPr>
          <w:rFonts w:ascii="Times New Roman" w:hAnsi="Times New Roman" w:cs="Times New Roman"/>
          <w:sz w:val="20"/>
          <w:szCs w:val="20"/>
        </w:rPr>
        <w:t>Timmerhaus</w:t>
      </w:r>
      <w:proofErr w:type="spellEnd"/>
      <w:r w:rsidRPr="00516BFF">
        <w:rPr>
          <w:rFonts w:ascii="Times New Roman" w:hAnsi="Times New Roman" w:cs="Times New Roman"/>
          <w:sz w:val="20"/>
          <w:szCs w:val="20"/>
        </w:rPr>
        <w:t xml:space="preserve">, and R. E. West, </w:t>
      </w:r>
      <w:r w:rsidRPr="00516BFF">
        <w:rPr>
          <w:rFonts w:ascii="Times New Roman" w:hAnsi="Times New Roman" w:cs="Times New Roman"/>
          <w:i/>
          <w:iCs/>
          <w:sz w:val="20"/>
          <w:szCs w:val="20"/>
        </w:rPr>
        <w:t>Plant Design and Economics for Chemical Engineers</w:t>
      </w:r>
    </w:p>
    <w:p w14:paraId="09597C1C" w14:textId="77777777" w:rsidR="00516BFF" w:rsidRPr="00516BFF" w:rsidRDefault="00516BFF" w:rsidP="00516BFF">
      <w:pPr>
        <w:spacing w:line="240" w:lineRule="auto"/>
        <w:jc w:val="both"/>
        <w:rPr>
          <w:rFonts w:ascii="Times New Roman" w:hAnsi="Times New Roman" w:cs="Times New Roman"/>
          <w:sz w:val="20"/>
          <w:szCs w:val="20"/>
        </w:rPr>
      </w:pPr>
      <w:r w:rsidRPr="00516BFF">
        <w:rPr>
          <w:rFonts w:ascii="Times New Roman" w:hAnsi="Times New Roman" w:cs="Times New Roman"/>
          <w:sz w:val="20"/>
          <w:szCs w:val="20"/>
        </w:rPr>
        <w:t>, 5th ed. New York, NY, USA: McGraw-Hill Education, 2003.</w:t>
      </w:r>
    </w:p>
    <w:p w14:paraId="5FE5B4F0" w14:textId="77777777" w:rsidR="00516BFF" w:rsidRPr="00634E0E" w:rsidRDefault="00516BFF" w:rsidP="00634E0E">
      <w:pPr>
        <w:spacing w:line="240" w:lineRule="auto"/>
        <w:jc w:val="both"/>
        <w:rPr>
          <w:rFonts w:ascii="Times New Roman" w:hAnsi="Times New Roman" w:cs="Times New Roman"/>
          <w:sz w:val="20"/>
          <w:szCs w:val="20"/>
        </w:rPr>
      </w:pPr>
    </w:p>
    <w:p w14:paraId="3219B852" w14:textId="0FD39385" w:rsidR="00634E0E" w:rsidRPr="00634E0E" w:rsidRDefault="00634E0E" w:rsidP="00634E0E">
      <w:pPr>
        <w:spacing w:line="240" w:lineRule="auto"/>
        <w:jc w:val="both"/>
        <w:rPr>
          <w:rFonts w:ascii="Times New Roman" w:hAnsi="Times New Roman" w:cs="Times New Roman"/>
          <w:sz w:val="20"/>
          <w:szCs w:val="20"/>
        </w:rPr>
      </w:pPr>
    </w:p>
    <w:p w14:paraId="03845826" w14:textId="77777777" w:rsidR="0089201A" w:rsidRPr="00072B42" w:rsidRDefault="0089201A" w:rsidP="00C2086E">
      <w:pPr>
        <w:spacing w:line="240" w:lineRule="auto"/>
        <w:jc w:val="both"/>
        <w:rPr>
          <w:rFonts w:ascii="Times New Roman" w:hAnsi="Times New Roman" w:cs="Times New Roman"/>
          <w:sz w:val="20"/>
          <w:szCs w:val="20"/>
        </w:rPr>
      </w:pPr>
    </w:p>
    <w:p w14:paraId="17FB5B69" w14:textId="77777777" w:rsidR="0089201A" w:rsidRPr="00072B42" w:rsidRDefault="0089201A" w:rsidP="00C2086E">
      <w:pPr>
        <w:spacing w:line="240" w:lineRule="auto"/>
        <w:jc w:val="both"/>
        <w:rPr>
          <w:rFonts w:ascii="Times New Roman" w:hAnsi="Times New Roman" w:cs="Times New Roman"/>
          <w:b/>
          <w:bCs/>
          <w:sz w:val="20"/>
          <w:szCs w:val="20"/>
        </w:rPr>
      </w:pPr>
    </w:p>
    <w:p w14:paraId="3E56350D" w14:textId="77777777" w:rsidR="004B7ECD" w:rsidRPr="00072B42" w:rsidRDefault="004B7ECD" w:rsidP="00C2086E">
      <w:pPr>
        <w:spacing w:line="240" w:lineRule="auto"/>
        <w:jc w:val="both"/>
        <w:rPr>
          <w:rFonts w:ascii="Times New Roman" w:hAnsi="Times New Roman" w:cs="Times New Roman"/>
          <w:sz w:val="20"/>
          <w:szCs w:val="20"/>
        </w:rPr>
      </w:pPr>
    </w:p>
    <w:p w14:paraId="442238E8" w14:textId="77777777" w:rsidR="004B7ECD" w:rsidRPr="00072B42" w:rsidRDefault="004B7ECD" w:rsidP="00C2086E">
      <w:pPr>
        <w:spacing w:line="240" w:lineRule="auto"/>
        <w:jc w:val="both"/>
        <w:rPr>
          <w:rFonts w:ascii="Times New Roman" w:hAnsi="Times New Roman" w:cs="Times New Roman"/>
          <w:sz w:val="20"/>
          <w:szCs w:val="20"/>
        </w:rPr>
      </w:pPr>
    </w:p>
    <w:p w14:paraId="16AEB8F2" w14:textId="77777777" w:rsidR="004B7ECD" w:rsidRPr="00072B42" w:rsidRDefault="004B7ECD" w:rsidP="00C2086E">
      <w:pPr>
        <w:spacing w:line="240" w:lineRule="auto"/>
        <w:jc w:val="both"/>
        <w:rPr>
          <w:rFonts w:ascii="Times New Roman" w:hAnsi="Times New Roman" w:cs="Times New Roman"/>
          <w:sz w:val="20"/>
          <w:szCs w:val="20"/>
        </w:rPr>
      </w:pPr>
    </w:p>
    <w:p w14:paraId="576D6BCA" w14:textId="77777777" w:rsidR="004B7ECD" w:rsidRPr="00072B42" w:rsidRDefault="004B7ECD" w:rsidP="00C2086E">
      <w:pPr>
        <w:spacing w:line="240" w:lineRule="auto"/>
        <w:jc w:val="both"/>
        <w:rPr>
          <w:rFonts w:ascii="Times New Roman" w:hAnsi="Times New Roman" w:cs="Times New Roman"/>
          <w:sz w:val="20"/>
          <w:szCs w:val="20"/>
        </w:rPr>
      </w:pPr>
    </w:p>
    <w:sectPr w:rsidR="004B7ECD" w:rsidRPr="00072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A1224"/>
    <w:multiLevelType w:val="multilevel"/>
    <w:tmpl w:val="2C2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90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ECD"/>
    <w:rsid w:val="00060265"/>
    <w:rsid w:val="00072B42"/>
    <w:rsid w:val="000A3E59"/>
    <w:rsid w:val="000B260D"/>
    <w:rsid w:val="000F3FC1"/>
    <w:rsid w:val="00132A21"/>
    <w:rsid w:val="001C60C7"/>
    <w:rsid w:val="001E020B"/>
    <w:rsid w:val="001F3EAE"/>
    <w:rsid w:val="002005C6"/>
    <w:rsid w:val="00256E78"/>
    <w:rsid w:val="002A3186"/>
    <w:rsid w:val="002D020C"/>
    <w:rsid w:val="003265BE"/>
    <w:rsid w:val="0042368C"/>
    <w:rsid w:val="00480AB1"/>
    <w:rsid w:val="004A4E36"/>
    <w:rsid w:val="004A6AC3"/>
    <w:rsid w:val="004B7ECD"/>
    <w:rsid w:val="004D2E54"/>
    <w:rsid w:val="004D7B36"/>
    <w:rsid w:val="004E07CA"/>
    <w:rsid w:val="004E2FCB"/>
    <w:rsid w:val="00516BFF"/>
    <w:rsid w:val="005311BD"/>
    <w:rsid w:val="005809F4"/>
    <w:rsid w:val="005B1964"/>
    <w:rsid w:val="00634E0E"/>
    <w:rsid w:val="00672400"/>
    <w:rsid w:val="006B3D6B"/>
    <w:rsid w:val="007A35C1"/>
    <w:rsid w:val="0084221D"/>
    <w:rsid w:val="008716B6"/>
    <w:rsid w:val="0089201A"/>
    <w:rsid w:val="009A3977"/>
    <w:rsid w:val="009D0864"/>
    <w:rsid w:val="009F1522"/>
    <w:rsid w:val="00A10251"/>
    <w:rsid w:val="00A9198F"/>
    <w:rsid w:val="00AB2B93"/>
    <w:rsid w:val="00AD6BC6"/>
    <w:rsid w:val="00AE4C1B"/>
    <w:rsid w:val="00B11F00"/>
    <w:rsid w:val="00C20205"/>
    <w:rsid w:val="00C2086E"/>
    <w:rsid w:val="00C20CC6"/>
    <w:rsid w:val="00C818DA"/>
    <w:rsid w:val="00CA09C5"/>
    <w:rsid w:val="00CC1461"/>
    <w:rsid w:val="00CD5EFF"/>
    <w:rsid w:val="00CD7346"/>
    <w:rsid w:val="00CE1F45"/>
    <w:rsid w:val="00CF1450"/>
    <w:rsid w:val="00D906CF"/>
    <w:rsid w:val="00DA0CAF"/>
    <w:rsid w:val="00E018F9"/>
    <w:rsid w:val="00E40204"/>
    <w:rsid w:val="00E47A0E"/>
    <w:rsid w:val="00E97BBF"/>
    <w:rsid w:val="00F5189C"/>
    <w:rsid w:val="00F86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AF82"/>
  <w15:chartTrackingRefBased/>
  <w15:docId w15:val="{3DAA9536-AC86-419B-B9FE-95EA0C2CF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ECD"/>
    <w:rPr>
      <w:rFonts w:eastAsiaTheme="majorEastAsia" w:cstheme="majorBidi"/>
      <w:color w:val="272727" w:themeColor="text1" w:themeTint="D8"/>
    </w:rPr>
  </w:style>
  <w:style w:type="paragraph" w:styleId="Title">
    <w:name w:val="Title"/>
    <w:basedOn w:val="Normal"/>
    <w:next w:val="Normal"/>
    <w:link w:val="TitleChar"/>
    <w:uiPriority w:val="10"/>
    <w:qFormat/>
    <w:rsid w:val="004B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ECD"/>
    <w:pPr>
      <w:spacing w:before="160"/>
      <w:jc w:val="center"/>
    </w:pPr>
    <w:rPr>
      <w:i/>
      <w:iCs/>
      <w:color w:val="404040" w:themeColor="text1" w:themeTint="BF"/>
    </w:rPr>
  </w:style>
  <w:style w:type="character" w:customStyle="1" w:styleId="QuoteChar">
    <w:name w:val="Quote Char"/>
    <w:basedOn w:val="DefaultParagraphFont"/>
    <w:link w:val="Quote"/>
    <w:uiPriority w:val="29"/>
    <w:rsid w:val="004B7ECD"/>
    <w:rPr>
      <w:i/>
      <w:iCs/>
      <w:color w:val="404040" w:themeColor="text1" w:themeTint="BF"/>
    </w:rPr>
  </w:style>
  <w:style w:type="paragraph" w:styleId="ListParagraph">
    <w:name w:val="List Paragraph"/>
    <w:basedOn w:val="Normal"/>
    <w:uiPriority w:val="34"/>
    <w:qFormat/>
    <w:rsid w:val="004B7ECD"/>
    <w:pPr>
      <w:ind w:left="720"/>
      <w:contextualSpacing/>
    </w:pPr>
  </w:style>
  <w:style w:type="character" w:styleId="IntenseEmphasis">
    <w:name w:val="Intense Emphasis"/>
    <w:basedOn w:val="DefaultParagraphFont"/>
    <w:uiPriority w:val="21"/>
    <w:qFormat/>
    <w:rsid w:val="004B7ECD"/>
    <w:rPr>
      <w:i/>
      <w:iCs/>
      <w:color w:val="2F5496" w:themeColor="accent1" w:themeShade="BF"/>
    </w:rPr>
  </w:style>
  <w:style w:type="paragraph" w:styleId="IntenseQuote">
    <w:name w:val="Intense Quote"/>
    <w:basedOn w:val="Normal"/>
    <w:next w:val="Normal"/>
    <w:link w:val="IntenseQuoteChar"/>
    <w:uiPriority w:val="30"/>
    <w:qFormat/>
    <w:rsid w:val="004B7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ECD"/>
    <w:rPr>
      <w:i/>
      <w:iCs/>
      <w:color w:val="2F5496" w:themeColor="accent1" w:themeShade="BF"/>
    </w:rPr>
  </w:style>
  <w:style w:type="character" w:styleId="IntenseReference">
    <w:name w:val="Intense Reference"/>
    <w:basedOn w:val="DefaultParagraphFont"/>
    <w:uiPriority w:val="32"/>
    <w:qFormat/>
    <w:rsid w:val="004B7ECD"/>
    <w:rPr>
      <w:b/>
      <w:bCs/>
      <w:smallCaps/>
      <w:color w:val="2F5496" w:themeColor="accent1" w:themeShade="BF"/>
      <w:spacing w:val="5"/>
    </w:rPr>
  </w:style>
  <w:style w:type="character" w:styleId="PlaceholderText">
    <w:name w:val="Placeholder Text"/>
    <w:basedOn w:val="DefaultParagraphFont"/>
    <w:uiPriority w:val="99"/>
    <w:semiHidden/>
    <w:rsid w:val="004B7E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C95F-B977-42FC-9138-D03BA855D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9</Pages>
  <Words>3824</Words>
  <Characters>21803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Ntiamoah James</dc:creator>
  <cp:keywords/>
  <dc:description/>
  <cp:lastModifiedBy>Ntiamoah James</cp:lastModifiedBy>
  <cp:revision>60</cp:revision>
  <dcterms:created xsi:type="dcterms:W3CDTF">2026-09-23T23:22:00Z</dcterms:created>
  <dcterms:modified xsi:type="dcterms:W3CDTF">2026-09-24T08:36:00Z</dcterms:modified>
</cp:coreProperties>
</file>