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1B9889B" w:rsidR="008B5AA9" w:rsidRPr="00AC3133" w:rsidRDefault="005E2CB3" w:rsidP="00464C42">
      <w:pPr>
        <w:spacing w:before="120" w:after="0" w:line="240" w:lineRule="auto"/>
      </w:pPr>
      <w:r>
        <w:t>Creative</w:t>
      </w:r>
      <w:r w:rsidR="004719B7">
        <w:t xml:space="preserve"> Learning and Development expert</w:t>
      </w:r>
      <w:r w:rsidR="00E4579F">
        <w:t xml:space="preserve"> focus</w:t>
      </w:r>
      <w:r>
        <w:t>ed on</w:t>
      </w:r>
      <w:r w:rsidR="00E4579F">
        <w:t xml:space="preserve"> providing great learning experiences for technical, developer, sales</w:t>
      </w:r>
      <w:r>
        <w:t>, and consumer</w:t>
      </w:r>
      <w:r w:rsidR="00E4579F">
        <w:t xml:space="preserve"> audiences using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 xml:space="preserve">IaaS/PaaS/SaaS/XaaS,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5824FA9C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>under contract with Synergis</w:t>
      </w:r>
      <w:r w:rsidR="00F95DEC">
        <w:t xml:space="preserve"> IT</w:t>
      </w:r>
      <w:r w:rsidR="00936BDD">
        <w:t>,</w:t>
      </w:r>
      <w:r w:rsidR="008B598E">
        <w:t xml:space="preserve"> </w:t>
      </w:r>
      <w:r>
        <w:t>January 2019 –</w:t>
      </w:r>
      <w:r w:rsidR="00D15FFE">
        <w:t>August 2019</w:t>
      </w:r>
      <w:bookmarkStart w:id="0" w:name="_GoBack"/>
      <w:bookmarkEnd w:id="0"/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FAC6956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 xml:space="preserve">technical and consumer </w:t>
      </w:r>
      <w:r w:rsidR="00B55EC7">
        <w:t>courses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El</w:t>
      </w:r>
      <w:r w:rsidR="00203604" w:rsidRPr="00203604">
        <w:t>earning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BillerXpert,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8039" w14:textId="77777777" w:rsidR="00D4034B" w:rsidRDefault="00D4034B" w:rsidP="00717F71">
      <w:pPr>
        <w:spacing w:after="0" w:line="240" w:lineRule="auto"/>
      </w:pPr>
      <w:r>
        <w:separator/>
      </w:r>
    </w:p>
  </w:endnote>
  <w:endnote w:type="continuationSeparator" w:id="0">
    <w:p w14:paraId="7B809840" w14:textId="77777777" w:rsidR="00D4034B" w:rsidRDefault="00D4034B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A237" w14:textId="77777777" w:rsidR="00D4034B" w:rsidRDefault="00D4034B" w:rsidP="00717F71">
      <w:pPr>
        <w:spacing w:after="0" w:line="240" w:lineRule="auto"/>
      </w:pPr>
      <w:r>
        <w:separator/>
      </w:r>
    </w:p>
  </w:footnote>
  <w:footnote w:type="continuationSeparator" w:id="0">
    <w:p w14:paraId="5F651536" w14:textId="77777777" w:rsidR="00D4034B" w:rsidRDefault="00D4034B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15FFE"/>
    <w:rsid w:val="00D21237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9E6E4-916B-48F2-AE7E-D7622652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14</cp:revision>
  <cp:lastPrinted>2019-08-21T18:13:00Z</cp:lastPrinted>
  <dcterms:created xsi:type="dcterms:W3CDTF">2019-08-21T18:13:00Z</dcterms:created>
  <dcterms:modified xsi:type="dcterms:W3CDTF">2019-09-19T20:35:00Z</dcterms:modified>
</cp:coreProperties>
</file>