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200"/>
        <w:jc w:val="center"/>
      </w:pPr>
      <w:r>
        <w:rPr>
          <w:rFonts w:ascii="Arial" w:cs="Arial" w:eastAsia="Arial" w:hAnsi="Arial"/>
          <w:b/>
          <w:bCs/>
          <w:color w:val="1B4F72"/>
          <w:sz w:val="56"/>
          <w:szCs w:val="56"/>
        </w:rPr>
        <w:t xml:space="preserve">QBP COMPUTE UNIT</w:t>
      </w:r>
    </w:p>
    <w:p>
      <w:pPr>
        <w:spacing w:after="120"/>
        <w:jc w:val="center"/>
      </w:pPr>
      <w:r>
        <w:rPr>
          <w:rFonts w:ascii="Arial" w:cs="Arial" w:eastAsia="Arial" w:hAnsi="Arial"/>
          <w:color w:val="566573"/>
          <w:sz w:val="36"/>
          <w:szCs w:val="36"/>
        </w:rPr>
        <w:t xml:space="preserve">Sense – Compute – Act</w:t>
      </w:r>
    </w:p>
    <w:p>
      <w:pPr>
        <w:spacing w:after="200"/>
        <w:jc w:val="center"/>
      </w:pPr>
      <w:r>
        <w:rPr>
          <w:rFonts w:ascii="Arial" w:cs="Arial" w:eastAsia="Arial" w:hAnsi="Arial"/>
          <w:color w:val="566573"/>
          <w:sz w:val="30"/>
          <w:szCs w:val="30"/>
        </w:rPr>
        <w:t xml:space="preserve">The Optical Algebraic Pipeline</w:t>
      </w:r>
    </w:p>
    <w:p>
      <w:pPr>
        <w:spacing w:after="600"/>
        <w:jc w:val="center"/>
      </w:pPr>
      <w:r>
        <w:rPr>
          <w:rFonts w:ascii="Arial" w:cs="Arial" w:eastAsia="Arial" w:hAnsi="Arial"/>
          <w:color w:val="566573"/>
          <w:sz w:val="28"/>
          <w:szCs w:val="28"/>
        </w:rPr>
        <w:t xml:space="preserve">Architectural Specification Rev 2.0</w:t>
      </w:r>
    </w:p>
    <w:p>
      <w:pPr>
        <w:spacing w:after="400"/>
      </w:pPr>
    </w:p>
    <w:p>
      <w:pPr>
        <w:spacing w:after="80"/>
        <w:jc w:val="center"/>
      </w:pPr>
      <w:r>
        <w:rPr>
          <w:rFonts w:ascii="Arial" w:cs="Arial" w:eastAsia="Arial" w:hAnsi="Arial"/>
          <w:i/>
          <w:iCs/>
          <w:color w:val="7F8C8D"/>
          <w:sz w:val="24"/>
          <w:szCs w:val="24"/>
        </w:rPr>
        <w:t xml:space="preserve">Quaternion-Based Physics Native Processing Architecture</w:t>
      </w:r>
    </w:p>
    <w:p>
      <w:pPr>
        <w:spacing w:after="80"/>
        <w:jc w:val="center"/>
      </w:pPr>
      <w:r>
        <w:rPr>
          <w:rFonts w:ascii="Arial" w:cs="Arial" w:eastAsia="Arial" w:hAnsi="Arial"/>
          <w:color w:val="7F8C8D"/>
          <w:sz w:val="22"/>
          <w:szCs w:val="22"/>
        </w:rPr>
        <w:t xml:space="preserve">Incorporating Photonic SU(2) Computation, NV-Centre Spin–Photon Interface,</w:t>
      </w:r>
    </w:p>
    <w:p>
      <w:pPr>
        <w:spacing w:after="80"/>
        <w:jc w:val="center"/>
      </w:pPr>
      <w:r>
        <w:rPr>
          <w:rFonts w:ascii="Arial" w:cs="Arial" w:eastAsia="Arial" w:hAnsi="Arial"/>
          <w:color w:val="7F8C8D"/>
          <w:sz w:val="22"/>
          <w:szCs w:val="22"/>
        </w:rPr>
        <w:t xml:space="preserve">and Empirical Precision Analysis (QW8–QW512)</w:t>
      </w:r>
    </w:p>
    <w:p>
      <w:pPr>
        <w:spacing w:after="800"/>
      </w:pPr>
    </w:p>
    <w:p>
      <w:pPr>
        <w:spacing w:after="80"/>
        <w:jc w:val="center"/>
      </w:pPr>
      <w:r>
        <w:rPr>
          <w:rFonts w:ascii="Arial" w:cs="Arial" w:eastAsia="Arial" w:hAnsi="Arial"/>
          <w:sz w:val="22"/>
          <w:szCs w:val="22"/>
        </w:rPr>
        <w:t xml:space="preserve">Helpful Engineering — QBP Research Programme</w:t>
      </w:r>
    </w:p>
    <w:p>
      <w:pPr>
        <w:spacing w:after="80"/>
        <w:jc w:val="center"/>
      </w:pPr>
      <w:r>
        <w:rPr>
          <w:rFonts w:ascii="Arial" w:cs="Arial" w:eastAsia="Arial" w:hAnsi="Arial"/>
          <w:sz w:val="22"/>
          <w:szCs w:val="22"/>
        </w:rPr>
        <w:t xml:space="preserve">James Paget Butler, Claude (Anthropic), Gemini (Google DeepMind)</w:t>
      </w:r>
    </w:p>
    <w:p>
      <w:pPr>
        <w:spacing w:after="80"/>
        <w:jc w:val="center"/>
      </w:pPr>
      <w:r>
        <w:rPr>
          <w:rFonts w:ascii="Arial" w:cs="Arial" w:eastAsia="Arial" w:hAnsi="Arial"/>
          <w:sz w:val="22"/>
          <w:szCs w:val="22"/>
        </w:rPr>
        <w:t xml:space="preserve">March 2026</w:t>
      </w:r>
    </w:p>
    <w:p>
      <w:pPr>
        <w:spacing w:after="600"/>
      </w:pPr>
    </w:p>
    <w:p>
      <w:pPr>
        <w:pBdr>
          <w:top w:val="single" w:color="1B4F72" w:sz="2" w:space="12"/>
        </w:pBdr>
        <w:spacing w:before="200"/>
        <w:jc w:val="center"/>
      </w:pPr>
      <w:r>
        <w:rPr>
          <w:rFonts w:ascii="Arial" w:cs="Arial" w:eastAsia="Arial" w:hAnsi="Arial"/>
          <w:color w:val="95A5A6"/>
          <w:sz w:val="18"/>
          <w:szCs w:val="18"/>
        </w:rPr>
        <w:t xml:space="preserve">Classification: Helpful Engineering Collaboration — Open-Source Research</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rPr>
        <w:t xml:space="preserve">0. Document Lineage</w:t>
      </w:r>
    </w:p>
    <w:p>
      <w:pPr>
        <w:spacing w:after="130" w:line="276"/>
      </w:pPr>
      <w:r>
        <w:rPr>
          <w:rFonts w:ascii="Arial" w:cs="Arial" w:eastAsia="Arial" w:hAnsi="Arial"/>
          <w:sz w:val="22"/>
          <w:szCs w:val="22"/>
        </w:rPr>
        <w:t xml:space="preserve">Rev 1.0 (March 2026) established the sense-compute-act algebraic pipeline, corrected physics errors in the original FQCC specification, and defined the Crawl–Walk–Run–Fly hardware progression. Rev 2.0 incorporates three developments that materially change the architecture:</w:t>
      </w:r>
    </w:p>
    <w:p>
      <w:pPr>
        <w:pStyle w:val="ListParagraph"/>
        <w:numPr>
          <w:ilvl w:val="0"/>
          <w:numId w:val="2"/>
        </w:numPr>
        <w:spacing w:after="70" w:line="276"/>
      </w:pPr>
      <w:r>
        <w:rPr>
          <w:rFonts w:ascii="Arial" w:cs="Arial" w:eastAsia="Arial" w:hAnsi="Arial"/>
          <w:b/>
          <w:bCs/>
          <w:sz w:val="22"/>
          <w:szCs w:val="22"/>
        </w:rPr>
        <w:t xml:space="preserve">Empirical precision analysis (QW8–QW512). </w:t>
      </w:r>
      <w:r>
        <w:rPr>
          <w:rFonts w:ascii="Arial" w:cs="Arial" w:eastAsia="Arial" w:hAnsi="Arial"/>
          <w:sz w:val="22"/>
          <w:szCs w:val="22"/>
        </w:rPr>
        <w:t xml:space="preserve">Composition benchmarks on the Crawl-phase Go implementation established that norm drift scales predictably with component width, with a critical boundary between QW64 (~7 seconds algebraic integrity at 1 GHz) and QW128 (~172 days). This data-driven finding establishes a scalable-by-default precision architecture with QW128 as the recommended starting point for physics computation.</w:t>
      </w:r>
    </w:p>
    <w:p>
      <w:pPr>
        <w:pStyle w:val="ListParagraph"/>
        <w:numPr>
          <w:ilvl w:val="0"/>
          <w:numId w:val="2"/>
        </w:numPr>
        <w:spacing w:after="70" w:line="276"/>
      </w:pPr>
      <w:r>
        <w:rPr>
          <w:rFonts w:ascii="Arial" w:cs="Arial" w:eastAsia="Arial" w:hAnsi="Arial"/>
          <w:b/>
          <w:bCs/>
          <w:sz w:val="22"/>
          <w:szCs w:val="22"/>
        </w:rPr>
        <w:t xml:space="preserve">Optical SU(2) computation. </w:t>
      </w:r>
      <w:r>
        <w:rPr>
          <w:rFonts w:ascii="Arial" w:cs="Arial" w:eastAsia="Arial" w:hAnsi="Arial"/>
          <w:sz w:val="22"/>
          <w:szCs w:val="22"/>
        </w:rPr>
        <w:t xml:space="preserve">Ammendola et al. (Light: Science &amp; Applications, March 2026) demonstrated a programmable three-layer free-space photonic platform implementing arbitrary SU(2) transformations on structured light modes. SU(2) is isomorphic to the unit quaternions. Their platform is a physical implementation of the QBP SENSE–COMPUTE pipeline, operating at the speed of light with physically-enforced unitarity.</w:t>
      </w:r>
    </w:p>
    <w:p>
      <w:pPr>
        <w:pStyle w:val="ListParagraph"/>
        <w:numPr>
          <w:ilvl w:val="0"/>
          <w:numId w:val="2"/>
        </w:numPr>
        <w:spacing w:after="70" w:line="276"/>
      </w:pPr>
      <w:r>
        <w:rPr>
          <w:rFonts w:ascii="Arial" w:cs="Arial" w:eastAsia="Arial" w:hAnsi="Arial"/>
          <w:b/>
          <w:bCs/>
          <w:sz w:val="22"/>
          <w:szCs w:val="22"/>
        </w:rPr>
        <w:t xml:space="preserve">NV-centre spin–photon interface. </w:t>
      </w:r>
      <w:r>
        <w:rPr>
          <w:rFonts w:ascii="Arial" w:cs="Arial" w:eastAsia="Arial" w:hAnsi="Arial"/>
          <w:sz w:val="22"/>
          <w:szCs w:val="22"/>
        </w:rPr>
        <w:t xml:space="preserve">Demonstrated selection rules map circularly-polarised photon states (|L⟩, |R⟩) directly to NV-centre electron spin states (mₛ = ±1) with &gt;99% initialisation fidelity. This provides a zero-impedance algebraic bridge between the optical and quantum-spin compute domains. Combined with nuclear spin registers (up to 27 qubits demonstrated), this completes the sense-compute-act loop in physical hardware.</w:t>
      </w:r>
    </w:p>
    <w:p>
      <w:pPr>
        <w:spacing w:after="130" w:line="276"/>
      </w:pPr>
      <w:r>
        <w:rPr>
          <w:rFonts w:ascii="Arial" w:cs="Arial" w:eastAsia="Arial" w:hAnsi="Arial"/>
          <w:sz w:val="22"/>
          <w:szCs w:val="22"/>
        </w:rPr>
        <w:t xml:space="preserve">These developments introduce a new </w:t>
      </w:r>
      <w:r>
        <w:rPr>
          <w:rFonts w:ascii="Arial" w:cs="Arial" w:eastAsia="Arial" w:hAnsi="Arial"/>
          <w:b/>
          <w:bCs/>
          <w:sz w:val="22"/>
          <w:szCs w:val="22"/>
        </w:rPr>
        <w:t xml:space="preserve">“Glide” phase</w:t>
      </w:r>
      <w:r>
        <w:rPr>
          <w:rFonts w:ascii="Arial" w:cs="Arial" w:eastAsia="Arial" w:hAnsi="Arial"/>
          <w:sz w:val="22"/>
          <w:szCs w:val="22"/>
        </w:rPr>
        <w:t xml:space="preserve"> between Run and Fly: prototype the algebraic pipeline on commercial SLMs coupled to diamond NV centres before committing to monolithic diamond fabrication.</w:t>
      </w:r>
    </w:p>
    <w:p>
      <w:pPr>
        <w:pStyle w:val="Heading1"/>
        <w:spacing w:before="360" w:after="160"/>
      </w:pPr>
      <w:r>
        <w:rPr>
          <w:rFonts w:ascii="Arial" w:cs="Arial" w:eastAsia="Arial" w:hAnsi="Arial"/>
        </w:rPr>
        <w:t xml:space="preserve">1. The Core Insight: SU(2) Is The Universal Bridge</w:t>
      </w:r>
    </w:p>
    <w:p>
      <w:pPr>
        <w:spacing w:after="130" w:line="276"/>
      </w:pPr>
      <w:r>
        <w:rPr>
          <w:rFonts w:ascii="Arial" w:cs="Arial" w:eastAsia="Arial" w:hAnsi="Arial"/>
          <w:sz w:val="22"/>
          <w:szCs w:val="22"/>
        </w:rPr>
        <w:t xml:space="preserve">The group SU(2) — the special unitary group of 2×2 matrices — is isomorphic to the unit quaternions. This is not an analogy; it is a mathematical identity. Every unit quaternion q = cos(θ/2) + sin(θ/2)(nₓi + nᵧj + nₘk) corresponds to exactly one SU(2) matrix, and vice versa. This identity has a profound architectural consequence:</w:t>
      </w:r>
    </w:p>
    <w:p>
      <w:pPr>
        <w:pBdr>
          <w:left w:val="single" w:color="1B4F72" w:sz="6" w:space="8"/>
        </w:pBdr>
        <w:spacing w:after="180"/>
        <w:ind w:left="360" w:right="360"/>
      </w:pPr>
      <w:r>
        <w:rPr>
          <w:rFonts w:ascii="Arial" w:cs="Arial" w:eastAsia="Arial" w:hAnsi="Arial"/>
          <w:b/>
          <w:bCs/>
          <w:sz w:val="22"/>
          <w:szCs w:val="22"/>
        </w:rPr>
        <w:t xml:space="preserve">Every physical system that transforms under SU(2) is natively computing in quaternion algebra.</w:t>
      </w:r>
      <w:r>
        <w:rPr>
          <w:rFonts w:ascii="Arial" w:cs="Arial" w:eastAsia="Arial" w:hAnsi="Arial"/>
          <w:sz w:val="22"/>
          <w:szCs w:val="22"/>
        </w:rPr>
        <w:t xml:space="preserve"> Photon polarisation, electron spin, nuclear spin, and the waveplate Jones matrices that couple them are all manifestations of the same algebraic structure. A pipeline that preserves SU(2) structure from sensor to actuator is performing QBP-native computation regardless of the physical substrate at each stage.</w:t>
      </w:r>
    </w:p>
    <w:p>
      <w:pPr>
        <w:spacing w:after="130" w:line="276"/>
      </w:pPr>
      <w:r>
        <w:rPr>
          <w:rFonts w:ascii="Arial" w:cs="Arial" w:eastAsia="Arial" w:hAnsi="Arial"/>
          <w:sz w:val="22"/>
          <w:szCs w:val="22"/>
        </w:rPr>
        <w:t xml:space="preserve">The QBP Compute Unit exploits this universality. The sense-compute-act pipeline passes algebraic states between three physical domains — optical, electronic spin, and nuclear spin — each of which speaks SU(2) natively. The NV centre’s spin–photon selection rules provide the interface between domains, preserving the algebra exactly because the interface IS the algebra.</w:t>
      </w:r>
    </w:p>
    <w:p>
      <w:pPr>
        <w:pStyle w:val="Heading2"/>
        <w:spacing w:before="280" w:after="140"/>
      </w:pPr>
      <w:r>
        <w:rPr>
          <w:rFonts w:ascii="Arial" w:cs="Arial" w:eastAsia="Arial" w:hAnsi="Arial"/>
        </w:rPr>
        <w:t xml:space="preserve">1.1 The Three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Domain</w:t>
            </w:r>
          </w:p>
        </w:tc>
        <w:tc>
          <w:tcPr>
            <w:tcW w:type="dxa" w:w="25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Physical Carrier</w:t>
            </w:r>
          </w:p>
        </w:tc>
        <w:tc>
          <w:tcPr>
            <w:tcW w:type="dxa" w:w="25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SU(2) Encoding</w:t>
            </w:r>
          </w:p>
        </w:tc>
        <w:tc>
          <w:tcPr>
            <w:tcW w:type="dxa" w:w="25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QBP Role</w:t>
            </w:r>
          </w:p>
        </w:tc>
      </w:tr>
      <w:tr>
        <w:tc>
          <w:tcPr>
            <w:tcW w:type="dxa" w:w="18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Optical</w:t>
            </w:r>
          </w:p>
        </w:tc>
        <w:tc>
          <w:tcPr>
            <w:tcW w:type="dxa" w:w="2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Circularly polarised photon. |L⟩ and |R⟩ basis states.</w:t>
            </w:r>
          </w:p>
        </w:tc>
        <w:tc>
          <w:tcPr>
            <w:tcW w:type="dxa" w:w="2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Jones matrix Qθ(δ) is a unit quaternion parameterised by axis θ and angle δ. Waveplate = QMUL.</w:t>
            </w:r>
          </w:p>
        </w:tc>
        <w:tc>
          <w:tcPr>
            <w:tcW w:type="dxa" w:w="25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SENSE stage. Signal acquisition and optical pre-processing at light speed. Zero numerical drift.</w:t>
            </w:r>
          </w:p>
        </w:tc>
      </w:tr>
      <w:tr>
        <w:tc>
          <w:tcPr>
            <w:tcW w:type="dxa" w:w="18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Electron spin</w:t>
            </w:r>
          </w:p>
        </w:tc>
        <w:tc>
          <w:tcPr>
            <w:tcW w:type="dxa" w:w="2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NV-centre electron spin. mₛ = +1 and mₛ = −1 basis states.</w:t>
            </w:r>
          </w:p>
        </w:tc>
        <w:tc>
          <w:tcPr>
            <w:tcW w:type="dxa" w:w="2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Microwave pulse R(θ,φ) = exp(–iθσ̂/2) is a unit quaternion. Pulse = QMUL.</w:t>
            </w:r>
          </w:p>
        </w:tc>
        <w:tc>
          <w:tcPr>
            <w:tcW w:type="dxa" w:w="25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Communication qubit. Interfaces optical and nuclear domains. Spin–photon entanglement.</w:t>
            </w:r>
          </w:p>
        </w:tc>
      </w:tr>
      <w:tr>
        <w:tc>
          <w:tcPr>
            <w:tcW w:type="dxa" w:w="18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Nuclear spin</w:t>
            </w:r>
          </w:p>
        </w:tc>
        <w:tc>
          <w:tcPr>
            <w:tcW w:type="dxa" w:w="2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¹³C nuclear spins near NV centre. Spin-½ with second-scale coherence.</w:t>
            </w:r>
          </w:p>
        </w:tc>
        <w:tc>
          <w:tcPr>
            <w:tcW w:type="dxa" w:w="2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RF pulse on nuclear spin = SU(2) rotation = unit quaternion multiplication.</w:t>
            </w:r>
          </w:p>
        </w:tc>
        <w:tc>
          <w:tcPr>
            <w:tcW w:type="dxa" w:w="25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COMPUTE / MEMORY stage. Data qubits. Up to 27 per NV centre demonstrated. Hypergraph nodes.</w:t>
            </w:r>
          </w:p>
        </w:tc>
      </w:tr>
    </w:tbl>
    <w:p>
      <w:pPr>
        <w:spacing w:after="100"/>
      </w:pPr>
    </w:p>
    <w:p>
      <w:pPr>
        <w:pStyle w:val="Heading2"/>
        <w:spacing w:before="280" w:after="140"/>
      </w:pPr>
      <w:r>
        <w:rPr>
          <w:rFonts w:ascii="Arial" w:cs="Arial" w:eastAsia="Arial" w:hAnsi="Arial"/>
        </w:rPr>
        <w:t xml:space="preserve">1.2 The Interface: Selection Rules As Algebraic Identity Map</w:t>
      </w:r>
    </w:p>
    <w:p>
      <w:pPr>
        <w:spacing w:after="130" w:line="276"/>
      </w:pPr>
      <w:r>
        <w:rPr>
          <w:rFonts w:ascii="Arial" w:cs="Arial" w:eastAsia="Arial" w:hAnsi="Arial"/>
          <w:sz w:val="22"/>
          <w:szCs w:val="22"/>
        </w:rPr>
        <w:t xml:space="preserve">The NV centre’s A₂ excited state decays to spin sublevels mₛ = ±1 via opposite circular polarisation pathways: |L⟩ → mₛ = +1 and |R⟩ → mₛ = −1. An arbitrary superposition α|L⟩ + β|R⟩ becomes α|+1⟩ + β|−1⟩ on the electron spin. This mapping preserves superposition coefficients exactly. It is not an engineered interface — it is a selection rule of atomic physics. The quaternion passes from photon to spin without conversion, lossy abstraction, or decode step.</w:t>
      </w:r>
    </w:p>
    <w:p>
      <w:pPr>
        <w:spacing w:after="130" w:line="276"/>
      </w:pPr>
      <w:r>
        <w:rPr>
          <w:rFonts w:ascii="Arial" w:cs="Arial" w:eastAsia="Arial" w:hAnsi="Arial"/>
          <w:sz w:val="22"/>
          <w:szCs w:val="22"/>
        </w:rPr>
        <w:t xml:space="preserve">In the reverse direction, fluorescence from the NV centre emits photons whose polarisation is entangled with the spin state. The algebraic output of the spin COMPUTE stage re-enters the optical domain as a structured-light mode, readable by camera or routable through waveguides to the next stage.</w:t>
      </w:r>
    </w:p>
    <w:p>
      <w:pPr>
        <w:pStyle w:val="Heading1"/>
        <w:spacing w:before="360" w:after="160"/>
      </w:pPr>
      <w:r>
        <w:rPr>
          <w:rFonts w:ascii="Arial" w:cs="Arial" w:eastAsia="Arial" w:hAnsi="Arial"/>
        </w:rPr>
        <w:t xml:space="preserve">2. Precision Architecture: Width-Parameterised Quaternion Words</w:t>
      </w:r>
    </w:p>
    <w:p>
      <w:pPr>
        <w:spacing w:after="130" w:line="276"/>
      </w:pPr>
      <w:r>
        <w:rPr>
          <w:rFonts w:ascii="Arial" w:cs="Arial" w:eastAsia="Arial" w:hAnsi="Arial"/>
          <w:sz w:val="22"/>
          <w:szCs w:val="22"/>
        </w:rPr>
        <w:t xml:space="preserve">Rev 1.0 proposed a scalable instruction set without empirical data on precision boundaries. The Crawl-phase benchmark now provides that data.</w:t>
      </w:r>
    </w:p>
    <w:p>
      <w:pPr>
        <w:pStyle w:val="Heading2"/>
        <w:spacing w:before="280" w:after="140"/>
      </w:pPr>
      <w:r>
        <w:rPr>
          <w:rFonts w:ascii="Arial" w:cs="Arial" w:eastAsia="Arial" w:hAnsi="Arial"/>
        </w:rPr>
        <w:t xml:space="preserve">2.1 Empirical Precision Results</w:t>
      </w:r>
    </w:p>
    <w:p>
      <w:pPr>
        <w:spacing w:after="130" w:line="276"/>
      </w:pPr>
      <w:r>
        <w:rPr>
          <w:rFonts w:ascii="Arial" w:cs="Arial" w:eastAsia="Arial" w:hAnsi="Arial"/>
          <w:sz w:val="22"/>
          <w:szCs w:val="22"/>
        </w:rPr>
        <w:t xml:space="preserve">The composition stress test chained 1,000,000 quaternion multiplications at each precision level.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1700"/>
        <w:gridCol w:w="2560"/>
      </w:tblGrid>
      <w:tr>
        <w:tc>
          <w:tcPr>
            <w:tcW w:type="dxa" w:w="2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1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Bits</w:t>
            </w:r>
          </w:p>
        </w:tc>
        <w:tc>
          <w:tcPr>
            <w:tcW w:type="dxa" w:w="15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Drift/Op</w:t>
            </w:r>
          </w:p>
        </w:tc>
        <w:tc>
          <w:tcPr>
            <w:tcW w:type="dxa" w:w="17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Max Depth @1e-6</w:t>
            </w:r>
          </w:p>
        </w:tc>
        <w:tc>
          <w:tcPr>
            <w:tcW w:type="dxa" w:w="25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Continuous @1 GHz</w:t>
            </w:r>
          </w:p>
        </w:tc>
      </w:tr>
      <w:tr>
        <w:tc>
          <w:tcPr>
            <w:tcW w:type="dxa" w:w="26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QW8 (4×int8) — BMA hypergraph</w:t>
            </w:r>
          </w:p>
        </w:tc>
        <w:tc>
          <w:tcPr>
            <w:tcW w:type="dxa" w:w="1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32</w:t>
            </w:r>
          </w:p>
        </w:tc>
        <w:tc>
          <w:tcPr>
            <w:tcW w:type="dxa" w:w="1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1.74e−3</w:t>
            </w:r>
          </w:p>
        </w:tc>
        <w:tc>
          <w:tcPr>
            <w:tcW w:type="dxa" w:w="17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&lt;1</w:t>
            </w:r>
          </w:p>
        </w:tc>
        <w:tc>
          <w:tcPr>
            <w:tcW w:type="dxa" w:w="25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0 ns</w:t>
            </w:r>
          </w:p>
        </w:tc>
      </w:tr>
      <w:tr>
        <w:tc>
          <w:tcPr>
            <w:tcW w:type="dxa" w:w="26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QW16 (4×int16) — sensor</w:t>
            </w:r>
          </w:p>
        </w:tc>
        <w:tc>
          <w:tcPr>
            <w:tcW w:type="dxa" w:w="1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64</w:t>
            </w:r>
          </w:p>
        </w:tc>
        <w:tc>
          <w:tcPr>
            <w:tcW w:type="dxa" w:w="1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2.61e−8</w:t>
            </w:r>
          </w:p>
        </w:tc>
        <w:tc>
          <w:tcPr>
            <w:tcW w:type="dxa" w:w="17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38</w:t>
            </w:r>
          </w:p>
        </w:tc>
        <w:tc>
          <w:tcPr>
            <w:tcW w:type="dxa" w:w="25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38 ns</w:t>
            </w:r>
          </w:p>
        </w:tc>
      </w:tr>
      <w:tr>
        <w:tc>
          <w:tcPr>
            <w:tcW w:type="dxa" w:w="26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QW32 (4×float32) — GPU native</w:t>
            </w:r>
          </w:p>
        </w:tc>
        <w:tc>
          <w:tcPr>
            <w:tcW w:type="dxa" w:w="1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128</w:t>
            </w:r>
          </w:p>
        </w:tc>
        <w:tc>
          <w:tcPr>
            <w:tcW w:type="dxa" w:w="1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1.39e−8</w:t>
            </w:r>
          </w:p>
        </w:tc>
        <w:tc>
          <w:tcPr>
            <w:tcW w:type="dxa" w:w="17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72</w:t>
            </w:r>
          </w:p>
        </w:tc>
        <w:tc>
          <w:tcPr>
            <w:tcW w:type="dxa" w:w="25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72 ns</w:t>
            </w:r>
          </w:p>
        </w:tc>
      </w:tr>
      <w:tr>
        <w:tc>
          <w:tcPr>
            <w:tcW w:type="dxa" w:w="26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QW64 (4×float64)</w:t>
            </w:r>
          </w:p>
        </w:tc>
        <w:tc>
          <w:tcPr>
            <w:tcW w:type="dxa" w:w="1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256</w:t>
            </w:r>
          </w:p>
        </w:tc>
        <w:tc>
          <w:tcPr>
            <w:tcW w:type="dxa" w:w="1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1.36e−16</w:t>
            </w:r>
          </w:p>
        </w:tc>
        <w:tc>
          <w:tcPr>
            <w:tcW w:type="dxa" w:w="17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7.3×10⁹</w:t>
            </w:r>
          </w:p>
        </w:tc>
        <w:tc>
          <w:tcPr>
            <w:tcW w:type="dxa" w:w="25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7.3 seconds</w:t>
            </w:r>
          </w:p>
        </w:tc>
      </w:tr>
      <w:tr>
        <w:tc>
          <w:tcPr>
            <w:tcW w:type="dxa" w:w="26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QW128 (4×float128) — validated</w:t>
            </w:r>
          </w:p>
        </w:tc>
        <w:tc>
          <w:tcPr>
            <w:tcW w:type="dxa" w:w="1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512</w:t>
            </w:r>
          </w:p>
        </w:tc>
        <w:tc>
          <w:tcPr>
            <w:tcW w:type="dxa" w:w="1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6.72e−23</w:t>
            </w:r>
          </w:p>
        </w:tc>
        <w:tc>
          <w:tcPr>
            <w:tcW w:type="dxa" w:w="17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1.49×10¹⁶</w:t>
            </w:r>
          </w:p>
        </w:tc>
        <w:tc>
          <w:tcPr>
            <w:tcW w:type="dxa" w:w="25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172 days</w:t>
            </w:r>
          </w:p>
        </w:tc>
      </w:tr>
      <w:tr>
        <w:tc>
          <w:tcPr>
            <w:tcW w:type="dxa" w:w="26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QW256 (4×float256)</w:t>
            </w:r>
          </w:p>
        </w:tc>
        <w:tc>
          <w:tcPr>
            <w:tcW w:type="dxa" w:w="1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1024</w:t>
            </w:r>
          </w:p>
        </w:tc>
        <w:tc>
          <w:tcPr>
            <w:tcW w:type="dxa" w:w="1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&lt; 1e−40 (est.)</w:t>
            </w:r>
          </w:p>
        </w:tc>
        <w:tc>
          <w:tcPr>
            <w:tcW w:type="dxa" w:w="17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&gt;&gt; 172 days</w:t>
            </w:r>
          </w:p>
        </w:tc>
        <w:tc>
          <w:tcPr>
            <w:tcW w:type="dxa" w:w="25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&gt;&gt; years</w:t>
            </w:r>
          </w:p>
        </w:tc>
      </w:tr>
      <w:tr>
        <w:tc>
          <w:tcPr>
            <w:tcW w:type="dxa" w:w="26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Optical SU(2) (physical)</w:t>
            </w:r>
          </w:p>
        </w:tc>
        <w:tc>
          <w:tcPr>
            <w:tcW w:type="dxa" w:w="1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N/A</w:t>
            </w:r>
          </w:p>
        </w:tc>
        <w:tc>
          <w:tcPr>
            <w:tcW w:type="dxa" w:w="1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0 (physical)</w:t>
            </w:r>
          </w:p>
        </w:tc>
        <w:tc>
          <w:tcPr>
            <w:tcW w:type="dxa" w:w="17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w:t>
            </w:r>
          </w:p>
        </w:tc>
        <w:tc>
          <w:tcPr>
            <w:tcW w:type="dxa" w:w="25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 (unitarity enforced by physics)</w:t>
            </w:r>
          </w:p>
        </w:tc>
      </w:tr>
    </w:tbl>
    <w:p>
      <w:pPr>
        <w:spacing w:after="100"/>
      </w:pPr>
    </w:p>
    <w:p>
      <w:pPr>
        <w:pStyle w:val="Heading2"/>
        <w:spacing w:before="280" w:after="140"/>
      </w:pPr>
      <w:r>
        <w:rPr>
          <w:rFonts w:ascii="Arial" w:cs="Arial" w:eastAsia="Arial" w:hAnsi="Arial"/>
        </w:rPr>
        <w:t xml:space="preserve">2.2 Scalable by Default; QW128 as Starting Point</w:t>
      </w:r>
    </w:p>
    <w:p>
      <w:pPr>
        <w:spacing w:after="130" w:line="276"/>
      </w:pPr>
      <w:r>
        <w:rPr>
          <w:rFonts w:ascii="Arial" w:cs="Arial" w:eastAsia="Arial" w:hAnsi="Arial"/>
          <w:sz w:val="22"/>
          <w:szCs w:val="22"/>
        </w:rPr>
        <w:t xml:space="preserve">The fundamental architectural principle is that </w:t>
      </w:r>
      <w:r>
        <w:rPr>
          <w:rFonts w:ascii="Arial" w:cs="Arial" w:eastAsia="Arial" w:hAnsi="Arial"/>
          <w:b/>
          <w:bCs/>
          <w:sz w:val="22"/>
          <w:szCs w:val="22"/>
        </w:rPr>
        <w:t xml:space="preserve">the quaternion word width is always a runtime parameter, never a fixed constant</w:t>
      </w:r>
      <w:r>
        <w:rPr>
          <w:rFonts w:ascii="Arial" w:cs="Arial" w:eastAsia="Arial" w:hAnsi="Arial"/>
          <w:sz w:val="22"/>
          <w:szCs w:val="22"/>
        </w:rPr>
        <w:t xml:space="preserve">. The Hamilton product, the Fano LUT, and the QROT rotation are algebraically identical at every precision. What changes is the composition lifetime — how many chained multiplications the system can perform before accumulated drift forces a non-algebraic intervention (renormalisation). The task determines the width; the architecture supports all of them simultaneously.</w:t>
      </w:r>
    </w:p>
    <w:p>
      <w:pPr>
        <w:spacing w:after="130" w:line="276"/>
      </w:pPr>
      <w:r>
        <w:rPr>
          <w:rFonts w:ascii="Arial" w:cs="Arial" w:eastAsia="Arial" w:hAnsi="Arial"/>
          <w:sz w:val="22"/>
          <w:szCs w:val="22"/>
        </w:rPr>
        <w:t xml:space="preserve">The empirical data identifies three natural precision regimes:</w:t>
      </w:r>
    </w:p>
    <w:p>
      <w:pPr>
        <w:pStyle w:val="ListParagraph"/>
        <w:numPr>
          <w:ilvl w:val="0"/>
          <w:numId w:val="3"/>
        </w:numPr>
        <w:spacing w:after="70" w:line="276"/>
      </w:pPr>
      <w:r>
        <w:rPr>
          <w:rFonts w:ascii="Arial" w:cs="Arial" w:eastAsia="Arial" w:hAnsi="Arial"/>
          <w:b/>
          <w:bCs/>
          <w:sz w:val="22"/>
          <w:szCs w:val="22"/>
        </w:rPr>
        <w:t xml:space="preserve">Below QW64 (&lt; 256 bits): </w:t>
      </w:r>
      <w:r>
        <w:rPr>
          <w:rFonts w:ascii="Arial" w:cs="Arial" w:eastAsia="Arial" w:hAnsi="Arial"/>
          <w:sz w:val="22"/>
          <w:szCs w:val="22"/>
        </w:rPr>
        <w:t xml:space="preserve">Composition lifetime measured in nanoseconds or individual operations. Suitable for tasks with short chains: hypergraph traversal (few hops, QW8), sensor ingestion (single read, QW16), GPU-native computation (QW32). These widths are not inferior — they serve different purposes within the same pipeline.</w:t>
      </w:r>
    </w:p>
    <w:p>
      <w:pPr>
        <w:pStyle w:val="ListParagraph"/>
        <w:numPr>
          <w:ilvl w:val="0"/>
          <w:numId w:val="3"/>
        </w:numPr>
        <w:spacing w:after="70" w:line="276"/>
      </w:pPr>
      <w:r>
        <w:rPr>
          <w:rFonts w:ascii="Arial" w:cs="Arial" w:eastAsia="Arial" w:hAnsi="Arial"/>
          <w:b/>
          <w:bCs/>
          <w:sz w:val="22"/>
          <w:szCs w:val="22"/>
        </w:rPr>
        <w:t xml:space="preserve">QW64 (256 bits): </w:t>
      </w:r>
      <w:r>
        <w:rPr>
          <w:rFonts w:ascii="Arial" w:cs="Arial" w:eastAsia="Arial" w:hAnsi="Arial"/>
          <w:sz w:val="22"/>
          <w:szCs w:val="22"/>
        </w:rPr>
        <w:t xml:space="preserve">Composition lifetime of ~7 seconds at 1 GHz. Adequate for many interactive computations but requires periodic renormalisation for sustained physical simulation. The algebraic watchdog fires roughly 8,600 times per day.</w:t>
      </w:r>
    </w:p>
    <w:p>
      <w:pPr>
        <w:pStyle w:val="ListParagraph"/>
        <w:numPr>
          <w:ilvl w:val="0"/>
          <w:numId w:val="3"/>
        </w:numPr>
        <w:spacing w:after="70" w:line="276"/>
      </w:pPr>
      <w:r>
        <w:rPr>
          <w:rFonts w:ascii="Arial" w:cs="Arial" w:eastAsia="Arial" w:hAnsi="Arial"/>
          <w:b/>
          <w:bCs/>
          <w:sz w:val="22"/>
          <w:szCs w:val="22"/>
        </w:rPr>
        <w:t xml:space="preserve">QW128 and above (≥ 512 bits): </w:t>
      </w:r>
      <w:r>
        <w:rPr>
          <w:rFonts w:ascii="Arial" w:cs="Arial" w:eastAsia="Arial" w:hAnsi="Arial"/>
          <w:sz w:val="22"/>
          <w:szCs w:val="22"/>
        </w:rPr>
        <w:t xml:space="preserve">Composition lifetime of 172+ days. The algebraic pipeline runs clean for any practical mission duration without intervention. The watchdog becomes a verification tool rather than a correction trigger. For QBP research specifically, this means the observation window for testing the hypothesis is 2-million-fold wider than at QW64.</w:t>
      </w:r>
    </w:p>
    <w:p>
      <w:pPr>
        <w:spacing w:after="130" w:line="276"/>
      </w:pPr>
      <w:r>
        <w:rPr>
          <w:rFonts w:ascii="Arial" w:cs="Arial" w:eastAsia="Arial" w:hAnsi="Arial"/>
          <w:sz w:val="22"/>
          <w:szCs w:val="22"/>
        </w:rPr>
        <w:t xml:space="preserve">Based on this data, </w:t>
      </w:r>
      <w:r>
        <w:rPr>
          <w:rFonts w:ascii="Arial" w:cs="Arial" w:eastAsia="Arial" w:hAnsi="Arial"/>
          <w:b/>
          <w:bCs/>
          <w:sz w:val="22"/>
          <w:szCs w:val="22"/>
        </w:rPr>
        <w:t xml:space="preserve">QW128 (IEEE 754 binary128, RISC-V Q extension) is the recommended starting point for physics computation in the electronic pipeline</w:t>
      </w:r>
      <w:r>
        <w:rPr>
          <w:rFonts w:ascii="Arial" w:cs="Arial" w:eastAsia="Arial" w:hAnsi="Arial"/>
          <w:sz w:val="22"/>
          <w:szCs w:val="22"/>
        </w:rPr>
        <w:t xml:space="preserve">. The word “starting” is deliberate: the architecture does not lock to this width. A computation that runs for minutes can use QW64. One that must maintain algebraic purity for months uses QW128. One that requires precision beyond any conceivable physical lifetime scales to QW256. The instruction set accommodates all of these via width-suffixed opcodes (QMUL.8, QMUL.16, QMUL.32, QMUL.64, QMUL.128, QMUL.256) on the same algebraic engine.</w:t>
      </w:r>
    </w:p>
    <w:p>
      <w:pPr>
        <w:pBdr>
          <w:left w:val="single" w:color="1B4F72" w:sz="6" w:space="8"/>
        </w:pBdr>
        <w:spacing w:after="180"/>
        <w:ind w:left="360" w:right="360"/>
      </w:pPr>
      <w:r>
        <w:rPr>
          <w:rFonts w:ascii="Arial" w:cs="Arial" w:eastAsia="Arial" w:hAnsi="Arial"/>
          <w:b/>
          <w:bCs/>
          <w:sz w:val="22"/>
          <w:szCs w:val="22"/>
        </w:rPr>
        <w:t xml:space="preserve">Design rule: </w:t>
      </w:r>
      <w:r>
        <w:rPr>
          <w:rFonts w:ascii="Arial" w:cs="Arial" w:eastAsia="Arial" w:hAnsi="Arial"/>
          <w:sz w:val="22"/>
          <w:szCs w:val="22"/>
        </w:rPr>
        <w:t xml:space="preserve">The pipeline stage and the task jointly select the width. SENSE defaults to QW16 (matches sensor ADC resolution). COMPUTE defaults to QW128 for physics simulation, QW8 for hypergraph traversal, and QW32 for GPU-accelerated batch work. ACT defaults to QW16 (matches DAC/actuator resolution). FANO is always width-independent. Any default can be overridden per-task without architectural change. The system scales down for throughput and up for fidelity, using the same instructions, the same algebraic watchdog, and the same Fano routing table.</w:t>
      </w:r>
    </w:p>
    <w:p>
      <w:pPr>
        <w:pStyle w:val="Heading2"/>
        <w:spacing w:before="280" w:after="140"/>
      </w:pPr>
      <w:r>
        <w:rPr>
          <w:rFonts w:ascii="Arial" w:cs="Arial" w:eastAsia="Arial" w:hAnsi="Arial"/>
        </w:rPr>
        <w:t xml:space="preserve">2.3 The Optical Exception</w:t>
      </w:r>
    </w:p>
    <w:p>
      <w:pPr>
        <w:spacing w:after="130" w:line="276"/>
      </w:pPr>
      <w:r>
        <w:rPr>
          <w:rFonts w:ascii="Arial" w:cs="Arial" w:eastAsia="Arial" w:hAnsi="Arial"/>
          <w:sz w:val="22"/>
          <w:szCs w:val="22"/>
        </w:rPr>
        <w:t xml:space="preserve">The optical pipeline (Section 4) sidesteps the precision scaling question entirely. Polarisation states are physically unitary — a waveplate does not accumulate floating-point rounding errors. The Ammendola platform demonstrates 52±4% total efficiency over three layers with no degradation as step count increases. In the optical domain, the “max composition depth” is infinite because unitarity is a property of the medium, not a numerical approximation. This is one of the strongest arguments for the Glide phase: prove algebraic results optically (inherently infinite precision), then reproduce them at any electronic width to validate and calibrate the electronic pipeline. The optical path also provides the ground truth against which the algebraic watchdog’s drift measurements at each electronic width can be compared.</w:t>
      </w:r>
    </w:p>
    <w:p>
      <w:pPr>
        <w:pStyle w:val="Heading1"/>
        <w:spacing w:before="360" w:after="160"/>
      </w:pPr>
      <w:r>
        <w:rPr>
          <w:rFonts w:ascii="Arial" w:cs="Arial" w:eastAsia="Arial" w:hAnsi="Arial"/>
        </w:rPr>
        <w:t xml:space="preserve">3. Crawl Phase Benchmark Results</w:t>
      </w:r>
    </w:p>
    <w:p>
      <w:pPr>
        <w:spacing w:after="130" w:line="276"/>
      </w:pPr>
      <w:r>
        <w:rPr>
          <w:rFonts w:ascii="Arial" w:cs="Arial" w:eastAsia="Arial" w:hAnsi="Arial"/>
          <w:sz w:val="22"/>
          <w:szCs w:val="22"/>
        </w:rPr>
        <w:t xml:space="preserve">The Go-based Crawl implementation produced three quantitative findings:</w:t>
      </w:r>
    </w:p>
    <w:p>
      <w:pPr>
        <w:pStyle w:val="Heading2"/>
        <w:spacing w:before="280" w:after="140"/>
      </w:pPr>
      <w:r>
        <w:rPr>
          <w:rFonts w:ascii="Arial" w:cs="Arial" w:eastAsia="Arial" w:hAnsi="Arial"/>
        </w:rPr>
        <w:t xml:space="preserve">3.1 Operation Count: 11.3× Advantage</w:t>
      </w:r>
    </w:p>
    <w:p>
      <w:pPr>
        <w:spacing w:after="130" w:line="276"/>
      </w:pPr>
      <w:r>
        <w:rPr>
          <w:rFonts w:ascii="Arial" w:cs="Arial" w:eastAsia="Arial" w:hAnsi="Arial"/>
          <w:sz w:val="22"/>
          <w:szCs w:val="22"/>
        </w:rPr>
        <w:t xml:space="preserve">For the 1D Heisenberg spin-chain benchmark (Trotter decomposition, Néel initial state), the QBP-algebraic simulation requires </w:t>
      </w:r>
      <w:r>
        <w:rPr>
          <w:rFonts w:ascii="Arial" w:cs="Arial" w:eastAsia="Arial" w:hAnsi="Arial"/>
          <w:b/>
          <w:bCs/>
          <w:sz w:val="22"/>
          <w:szCs w:val="22"/>
        </w:rPr>
        <w:t xml:space="preserve">11.3× fewer operations</w:t>
      </w:r>
      <w:r>
        <w:rPr>
          <w:rFonts w:ascii="Arial" w:cs="Arial" w:eastAsia="Arial" w:hAnsi="Arial"/>
          <w:sz w:val="22"/>
          <w:szCs w:val="22"/>
        </w:rPr>
        <w:t xml:space="preserve"> than the equivalent float64-scalar simulation for identical physical evolution time. This ratio is scale-independent — it holds from 4-site to 100-site chains and from 100 to 100,000 time steps. The structural cause: quaternion rotation encodes spin-½ evolution in 4 real components (28 FP ops per Hamilton product), while the equivalent SU(2) matrix requires 8 real components (56+ FP ops per matrix multiply plus additional bookkeeping).</w:t>
      </w:r>
    </w:p>
    <w:p>
      <w:pPr>
        <w:pStyle w:val="Heading2"/>
        <w:spacing w:before="280" w:after="140"/>
      </w:pPr>
      <w:r>
        <w:rPr>
          <w:rFonts w:ascii="Arial" w:cs="Arial" w:eastAsia="Arial" w:hAnsi="Arial"/>
        </w:rPr>
        <w:t xml:space="preserve">3.2 Norm Preservation: 2× Advantage</w:t>
      </w:r>
    </w:p>
    <w:p>
      <w:pPr>
        <w:spacing w:after="130" w:line="276"/>
      </w:pPr>
      <w:r>
        <w:rPr>
          <w:rFonts w:ascii="Arial" w:cs="Arial" w:eastAsia="Arial" w:hAnsi="Arial"/>
          <w:sz w:val="22"/>
          <w:szCs w:val="22"/>
        </w:rPr>
        <w:t xml:space="preserve">In the pure composition stress test (chaining millions of multiplications without reconstruction), QBP-algebraic computation accumulates </w:t>
      </w:r>
      <w:r>
        <w:rPr>
          <w:rFonts w:ascii="Arial" w:cs="Arial" w:eastAsia="Arial" w:hAnsi="Arial"/>
          <w:b/>
          <w:bCs/>
          <w:sz w:val="22"/>
          <w:szCs w:val="22"/>
        </w:rPr>
        <w:t xml:space="preserve">exactly 2× less norm drift</w:t>
      </w:r>
      <w:r>
        <w:rPr>
          <w:rFonts w:ascii="Arial" w:cs="Arial" w:eastAsia="Arial" w:hAnsi="Arial"/>
          <w:sz w:val="22"/>
          <w:szCs w:val="22"/>
        </w:rPr>
        <w:t xml:space="preserve"> than the equivalent SU(2) matrix approach. This ratio holds across four orders of magnitude (100K to 100M iterations). The structural cause is the same: half the floating-point operations means half the rounding error accumulation. The algebra has half the error surface.</w:t>
      </w:r>
    </w:p>
    <w:p>
      <w:pPr>
        <w:pStyle w:val="Heading2"/>
        <w:spacing w:before="280" w:after="140"/>
      </w:pPr>
      <w:r>
        <w:rPr>
          <w:rFonts w:ascii="Arial" w:cs="Arial" w:eastAsia="Arial" w:hAnsi="Arial"/>
        </w:rPr>
        <w:t xml:space="preserve">3.3 Algebraic Infrastructure Verification</w:t>
      </w:r>
    </w:p>
    <w:p>
      <w:pPr>
        <w:spacing w:after="130" w:line="276"/>
      </w:pPr>
      <w:r>
        <w:rPr>
          <w:rFonts w:ascii="Arial" w:cs="Arial" w:eastAsia="Arial" w:hAnsi="Arial"/>
          <w:sz w:val="22"/>
          <w:szCs w:val="22"/>
        </w:rPr>
        <w:t xml:space="preserve">All algebraic properties passed verification:</w:t>
      </w:r>
    </w:p>
    <w:p>
      <w:pPr>
        <w:pStyle w:val="ListParagraph"/>
        <w:numPr>
          <w:ilvl w:val="0"/>
          <w:numId w:val="3"/>
        </w:numPr>
        <w:spacing w:after="70" w:line="276"/>
      </w:pPr>
      <w:r>
        <w:rPr>
          <w:rFonts w:ascii="Arial" w:cs="Arial" w:eastAsia="Arial" w:hAnsi="Arial"/>
          <w:sz w:val="22"/>
          <w:szCs w:val="22"/>
        </w:rPr>
        <w:t xml:space="preserve">Fano plane LUT: anti-commutativity, row permutations, diagonal properties — all correct.</w:t>
      </w:r>
    </w:p>
    <w:p>
      <w:pPr>
        <w:pStyle w:val="ListParagraph"/>
        <w:numPr>
          <w:ilvl w:val="0"/>
          <w:numId w:val="3"/>
        </w:numPr>
        <w:spacing w:after="70" w:line="276"/>
      </w:pPr>
      <w:r>
        <w:rPr>
          <w:rFonts w:ascii="Arial" w:cs="Arial" w:eastAsia="Arial" w:hAnsi="Arial"/>
          <w:sz w:val="22"/>
          <w:szCs w:val="22"/>
        </w:rPr>
        <w:t xml:space="preserve">Quaternion norm multiplicativity: preserved to machine epsilon (1.1e−16).</w:t>
      </w:r>
    </w:p>
    <w:p>
      <w:pPr>
        <w:pStyle w:val="ListParagraph"/>
        <w:numPr>
          <w:ilvl w:val="0"/>
          <w:numId w:val="3"/>
        </w:numPr>
        <w:spacing w:after="70" w:line="276"/>
      </w:pPr>
      <w:r>
        <w:rPr>
          <w:rFonts w:ascii="Arial" w:cs="Arial" w:eastAsia="Arial" w:hAnsi="Arial"/>
          <w:sz w:val="22"/>
          <w:szCs w:val="22"/>
        </w:rPr>
        <w:t xml:space="preserve">Octonion norm multiplicativity: preserved.</w:t>
      </w:r>
    </w:p>
    <w:p>
      <w:pPr>
        <w:pStyle w:val="ListParagraph"/>
        <w:numPr>
          <w:ilvl w:val="0"/>
          <w:numId w:val="3"/>
        </w:numPr>
        <w:spacing w:after="70" w:line="276"/>
      </w:pPr>
      <w:r>
        <w:rPr>
          <w:rFonts w:ascii="Arial" w:cs="Arial" w:eastAsia="Arial" w:hAnsi="Arial"/>
          <w:sz w:val="22"/>
          <w:szCs w:val="22"/>
        </w:rPr>
        <w:t xml:space="preserve">Octonion non-associativity: confirmed (defect = 1.07). Context-dependent traversal works.</w:t>
      </w:r>
    </w:p>
    <w:p>
      <w:pPr>
        <w:pStyle w:val="ListParagraph"/>
        <w:numPr>
          <w:ilvl w:val="0"/>
          <w:numId w:val="3"/>
        </w:numPr>
        <w:spacing w:after="70" w:line="276"/>
      </w:pPr>
      <w:r>
        <w:rPr>
          <w:rFonts w:ascii="Arial" w:cs="Arial" w:eastAsia="Arial" w:hAnsi="Arial"/>
          <w:sz w:val="22"/>
          <w:szCs w:val="22"/>
        </w:rPr>
        <w:t xml:space="preserve">Quaternionic subalgebra associativity: zero defect. Deterministic sub-paths confirmed.</w:t>
      </w:r>
    </w:p>
    <w:p>
      <w:pPr>
        <w:pStyle w:val="ListParagraph"/>
        <w:numPr>
          <w:ilvl w:val="0"/>
          <w:numId w:val="3"/>
        </w:numPr>
        <w:spacing w:after="70" w:line="276"/>
      </w:pPr>
      <w:r>
        <w:rPr>
          <w:rFonts w:ascii="Arial" w:cs="Arial" w:eastAsia="Arial" w:hAnsi="Arial"/>
          <w:sz w:val="22"/>
          <w:szCs w:val="22"/>
        </w:rPr>
        <w:t xml:space="preserve">QROT instruction: correct rotation. Exp/Log roundtrip: machine epsilon (3.6e−16).</w:t>
      </w:r>
    </w:p>
    <w:p>
      <w:pPr>
        <w:pStyle w:val="Heading1"/>
        <w:spacing w:before="360" w:after="160"/>
      </w:pPr>
      <w:r>
        <w:rPr>
          <w:rFonts w:ascii="Arial" w:cs="Arial" w:eastAsia="Arial" w:hAnsi="Arial"/>
        </w:rPr>
        <w:t xml:space="preserve">4. The Optical Algebraic Pipeline</w:t>
      </w:r>
    </w:p>
    <w:p>
      <w:pPr>
        <w:spacing w:after="130" w:line="276"/>
      </w:pPr>
      <w:r>
        <w:rPr>
          <w:rFonts w:ascii="Arial" w:cs="Arial" w:eastAsia="Arial" w:hAnsi="Arial"/>
          <w:sz w:val="22"/>
          <w:szCs w:val="22"/>
        </w:rPr>
        <w:t xml:space="preserve">Ammendola et al. (2026) demonstrate a free-space photonic platform that implements arbitrary translation-invariant SU(2) transformations using three programmable SLM layers interleaved with half-wave plates. Their key equation decomposes any target unitary U0001D4B0(x,y) as:</w:t>
      </w:r>
    </w:p>
    <w:p>
      <w:pPr>
        <w:pBdr>
          <w:left w:val="single" w:color="1B4F72" w:sz="6" w:space="8"/>
        </w:pBdr>
        <w:spacing w:after="180"/>
        <w:ind w:left="360" w:right="360"/>
      </w:pPr>
      <w:r>
        <w:rPr>
          <w:rFonts w:ascii="Arial" w:cs="Arial" w:eastAsia="Arial" w:hAnsi="Arial"/>
          <w:sz w:val="22"/>
          <w:szCs w:val="22"/>
        </w:rPr>
        <w:t xml:space="preserve">U0001D4B0(x,y) = Q_θ₃(π/2) · Q_θ₂(π) · Q_θ₁(π/2)</w:t>
      </w:r>
    </w:p>
    <w:p>
      <w:pPr>
        <w:spacing w:after="130" w:line="276"/>
      </w:pPr>
      <w:r>
        <w:rPr>
          <w:rFonts w:ascii="Arial" w:cs="Arial" w:eastAsia="Arial" w:hAnsi="Arial"/>
          <w:sz w:val="22"/>
          <w:szCs w:val="22"/>
        </w:rPr>
        <w:t xml:space="preserve">where Q_θ(δ) is the standard waveplate Jones matrix in the circular polarisation basis — which IS a unit quaternion parameterised by axis θ and angle δ. This three-waveplate decomposition is algebraically identical to a three-QMUL composition reaching any point on the unit quaternion sphere. The platform distributes a single input mode across over 7,000 outputs with 52±4% efficiency, implementing quantum walks of up to 30 time steps in a single pass.</w:t>
      </w:r>
    </w:p>
    <w:p>
      <w:pPr>
        <w:pStyle w:val="Heading2"/>
        <w:spacing w:before="280" w:after="140"/>
      </w:pPr>
      <w:r>
        <w:rPr>
          <w:rFonts w:ascii="Arial" w:cs="Arial" w:eastAsia="Arial" w:hAnsi="Arial"/>
        </w:rPr>
        <w:t xml:space="preserve">4.1 Architectural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Ammendola Platform</w:t>
            </w:r>
          </w:p>
        </w:tc>
        <w:tc>
          <w:tcPr>
            <w:tcW w:type="dxa" w:w="328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QBP Equivalent</w:t>
            </w:r>
          </w:p>
        </w:tc>
        <w:tc>
          <w:tcPr>
            <w:tcW w:type="dxa" w:w="328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Algebraic Identity</w:t>
            </w:r>
          </w:p>
        </w:tc>
      </w:tr>
      <w:tr>
        <w:tc>
          <w:tcPr>
            <w:tcW w:type="dxa" w:w="28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SLM layer applying Q_θ(δ)</w:t>
            </w:r>
          </w:p>
        </w:tc>
        <w:tc>
          <w:tcPr>
            <w:tcW w:type="dxa" w:w="32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QMUL instruction on optical quaternion word</w:t>
            </w:r>
          </w:p>
        </w:tc>
        <w:tc>
          <w:tcPr>
            <w:tcW w:type="dxa" w:w="32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Jones matrix Q_θ(δ) = unit quaternion q(θ,δ)</w:t>
            </w:r>
          </w:p>
        </w:tc>
      </w:tr>
      <w:tr>
        <w:tc>
          <w:tcPr>
            <w:tcW w:type="dxa" w:w="28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Circular polarisation |L⟩, |R⟩</w:t>
            </w:r>
          </w:p>
        </w:tc>
        <w:tc>
          <w:tcPr>
            <w:tcW w:type="dxa" w:w="32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Spin-½ basis states</w:t>
            </w:r>
          </w:p>
        </w:tc>
        <w:tc>
          <w:tcPr>
            <w:tcW w:type="dxa" w:w="32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SU(2) fundamental representation</w:t>
            </w:r>
          </w:p>
        </w:tc>
      </w:tr>
      <w:tr>
        <w:tc>
          <w:tcPr>
            <w:tcW w:type="dxa" w:w="28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Quantised transverse momenta</w:t>
            </w:r>
          </w:p>
        </w:tc>
        <w:tc>
          <w:tcPr>
            <w:tcW w:type="dxa" w:w="32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Lattice sites / hypergraph nodes</w:t>
            </w:r>
          </w:p>
        </w:tc>
        <w:tc>
          <w:tcPr>
            <w:tcW w:type="dxa" w:w="32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Translation-invariant unitary on spatial modes</w:t>
            </w:r>
          </w:p>
        </w:tc>
      </w:tr>
      <w:tr>
        <w:tc>
          <w:tcPr>
            <w:tcW w:type="dxa" w:w="28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Three-layer SLM decomposition</w:t>
            </w:r>
          </w:p>
        </w:tc>
        <w:tc>
          <w:tcPr>
            <w:tcW w:type="dxa" w:w="32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Three QMUL operations composing to arbitrary SU(2)</w:t>
            </w:r>
          </w:p>
        </w:tc>
        <w:tc>
          <w:tcPr>
            <w:tcW w:type="dxa" w:w="32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Any unit quaternion reachable by 3 multiplications (Euler decomposition)</w:t>
            </w:r>
          </w:p>
        </w:tc>
      </w:tr>
      <w:tr>
        <w:tc>
          <w:tcPr>
            <w:tcW w:type="dxa" w:w="28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Analytical hologram solutions (closed-form)</w:t>
            </w:r>
          </w:p>
        </w:tc>
        <w:tc>
          <w:tcPr>
            <w:tcW w:type="dxa" w:w="32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Algebraic watchdog not needed (unitarity is physical)</w:t>
            </w:r>
          </w:p>
        </w:tc>
        <w:tc>
          <w:tcPr>
            <w:tcW w:type="dxa" w:w="32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No iterative optimisation; algebra provides exact solutions</w:t>
            </w:r>
          </w:p>
        </w:tc>
      </w:tr>
      <w:tr>
        <w:tc>
          <w:tcPr>
            <w:tcW w:type="dxa" w:w="28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7,000+ output modes</w:t>
            </w:r>
          </w:p>
        </w:tc>
        <w:tc>
          <w:tcPr>
            <w:tcW w:type="dxa" w:w="32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Octonionic communication channels</w:t>
            </w:r>
          </w:p>
        </w:tc>
        <w:tc>
          <w:tcPr>
            <w:tcW w:type="dxa" w:w="32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Mode families as algebraically-typed edge carriers</w:t>
            </w:r>
          </w:p>
        </w:tc>
      </w:tr>
    </w:tbl>
    <w:p>
      <w:pPr>
        <w:spacing w:after="100"/>
      </w:pPr>
    </w:p>
    <w:p>
      <w:pPr>
        <w:pStyle w:val="Heading2"/>
        <w:spacing w:before="280" w:after="140"/>
      </w:pPr>
      <w:r>
        <w:rPr>
          <w:rFonts w:ascii="Arial" w:cs="Arial" w:eastAsia="Arial" w:hAnsi="Arial"/>
        </w:rPr>
        <w:t xml:space="preserve">4.2 Advantages Over Electronic Computation</w:t>
      </w:r>
    </w:p>
    <w:p>
      <w:pPr>
        <w:pStyle w:val="ListParagraph"/>
        <w:numPr>
          <w:ilvl w:val="0"/>
          <w:numId w:val="3"/>
        </w:numPr>
        <w:spacing w:after="70" w:line="276"/>
      </w:pPr>
      <w:r>
        <w:rPr>
          <w:rFonts w:ascii="Arial" w:cs="Arial" w:eastAsia="Arial" w:hAnsi="Arial"/>
          <w:b/>
          <w:bCs/>
          <w:sz w:val="22"/>
          <w:szCs w:val="22"/>
        </w:rPr>
        <w:t xml:space="preserve">Zero numerical drift. </w:t>
      </w:r>
      <w:r>
        <w:rPr>
          <w:rFonts w:ascii="Arial" w:cs="Arial" w:eastAsia="Arial" w:hAnsi="Arial"/>
          <w:sz w:val="22"/>
          <w:szCs w:val="22"/>
        </w:rPr>
        <w:t xml:space="preserve">Unitarity is enforced by physics, not numerical precision. The max-composition-depth is infinite.</w:t>
      </w:r>
    </w:p>
    <w:p>
      <w:pPr>
        <w:pStyle w:val="ListParagraph"/>
        <w:numPr>
          <w:ilvl w:val="0"/>
          <w:numId w:val="3"/>
        </w:numPr>
        <w:spacing w:after="70" w:line="276"/>
      </w:pPr>
      <w:r>
        <w:rPr>
          <w:rFonts w:ascii="Arial" w:cs="Arial" w:eastAsia="Arial" w:hAnsi="Arial"/>
          <w:b/>
          <w:bCs/>
          <w:sz w:val="22"/>
          <w:szCs w:val="22"/>
        </w:rPr>
        <w:t xml:space="preserve">Light-speed operation. </w:t>
      </w:r>
      <w:r>
        <w:rPr>
          <w:rFonts w:ascii="Arial" w:cs="Arial" w:eastAsia="Arial" w:hAnsi="Arial"/>
          <w:sz w:val="22"/>
          <w:szCs w:val="22"/>
        </w:rPr>
        <w:t xml:space="preserve">Each QMUL executes in the time light traverses the SLM (~nanoseconds for reconfiguration, ~picoseconds for propagation).</w:t>
      </w:r>
    </w:p>
    <w:p>
      <w:pPr>
        <w:pStyle w:val="ListParagraph"/>
        <w:numPr>
          <w:ilvl w:val="0"/>
          <w:numId w:val="3"/>
        </w:numPr>
        <w:spacing w:after="70" w:line="276"/>
      </w:pPr>
      <w:r>
        <w:rPr>
          <w:rFonts w:ascii="Arial" w:cs="Arial" w:eastAsia="Arial" w:hAnsi="Arial"/>
          <w:b/>
          <w:bCs/>
          <w:sz w:val="22"/>
          <w:szCs w:val="22"/>
        </w:rPr>
        <w:t xml:space="preserve">Constant-depth scaling. </w:t>
      </w:r>
      <w:r>
        <w:rPr>
          <w:rFonts w:ascii="Arial" w:cs="Arial" w:eastAsia="Arial" w:hAnsi="Arial"/>
          <w:sz w:val="22"/>
          <w:szCs w:val="22"/>
        </w:rPr>
        <w:t xml:space="preserve">30 time steps require the same three physical layers as 1 time step. Circuit efficiency does not decrease with computation depth.</w:t>
      </w:r>
    </w:p>
    <w:p>
      <w:pPr>
        <w:pStyle w:val="ListParagraph"/>
        <w:numPr>
          <w:ilvl w:val="0"/>
          <w:numId w:val="3"/>
        </w:numPr>
        <w:spacing w:after="70" w:line="276"/>
      </w:pPr>
      <w:r>
        <w:rPr>
          <w:rFonts w:ascii="Arial" w:cs="Arial" w:eastAsia="Arial" w:hAnsi="Arial"/>
          <w:b/>
          <w:bCs/>
          <w:sz w:val="22"/>
          <w:szCs w:val="22"/>
        </w:rPr>
        <w:t xml:space="preserve">Analytical programmability. </w:t>
      </w:r>
      <w:r>
        <w:rPr>
          <w:rFonts w:ascii="Arial" w:cs="Arial" w:eastAsia="Arial" w:hAnsi="Arial"/>
          <w:sz w:val="22"/>
          <w:szCs w:val="22"/>
        </w:rPr>
        <w:t xml:space="preserve">Hologram patterns are derived from closed-form solutions, not iterative optimisation. New computations are loaded in milliseconds via SLM reconfiguration.</w:t>
      </w:r>
    </w:p>
    <w:p>
      <w:pPr>
        <w:pStyle w:val="Heading1"/>
        <w:spacing w:before="360" w:after="160"/>
      </w:pPr>
      <w:r>
        <w:rPr>
          <w:rFonts w:ascii="Arial" w:cs="Arial" w:eastAsia="Arial" w:hAnsi="Arial"/>
        </w:rPr>
        <w:t xml:space="preserve">5. The NV-Centre Spin–Photon Interface</w:t>
      </w:r>
    </w:p>
    <w:p>
      <w:pPr>
        <w:spacing w:after="130" w:line="276"/>
      </w:pPr>
      <w:r>
        <w:rPr>
          <w:rFonts w:ascii="Arial" w:cs="Arial" w:eastAsia="Arial" w:hAnsi="Arial"/>
          <w:sz w:val="22"/>
          <w:szCs w:val="22"/>
        </w:rPr>
        <w:t xml:space="preserve">The NV centre in diamond provides the physical bridge between the optical SENSE/pre-COMPUTE domain and the quantum COMPUTE/MEMORY domain. The interface is not an engineering construction — it is a selection rule of atomic physics that happens to preserve SU(2) algebraic structure exactly.</w:t>
      </w:r>
    </w:p>
    <w:p>
      <w:pPr>
        <w:pStyle w:val="Heading2"/>
        <w:spacing w:before="280" w:after="140"/>
      </w:pPr>
      <w:r>
        <w:rPr>
          <w:rFonts w:ascii="Arial" w:cs="Arial" w:eastAsia="Arial" w:hAnsi="Arial"/>
        </w:rPr>
        <w:t xml:space="preserve">5.1 The Selection Rule</w:t>
      </w:r>
    </w:p>
    <w:p>
      <w:pPr>
        <w:spacing w:after="130" w:line="276"/>
      </w:pPr>
      <w:r>
        <w:rPr>
          <w:rFonts w:ascii="Arial" w:cs="Arial" w:eastAsia="Arial" w:hAnsi="Arial"/>
          <w:sz w:val="22"/>
          <w:szCs w:val="22"/>
        </w:rPr>
        <w:t xml:space="preserve">The NV⁻ centre’s A₂ excited state decays to ground-state spin sublevels mₛ = ±1 via opposite circular polarisation pathways. This maps |L⟩ → mₛ = +1 and |R⟩ → mₛ = −1. Resonant optical pumping achieves &gt;99% spin initialisation fidelity. Resonance fluorescence reads the spin state with &gt;95% fidelity using integrated solid immersion lenses. The reverse process (fluorescence) re-emits spin-entangled photons back into the optical domain.</w:t>
      </w:r>
    </w:p>
    <w:p>
      <w:pPr>
        <w:pStyle w:val="Heading2"/>
        <w:spacing w:before="280" w:after="140"/>
      </w:pPr>
      <w:r>
        <w:rPr>
          <w:rFonts w:ascii="Arial" w:cs="Arial" w:eastAsia="Arial" w:hAnsi="Arial"/>
        </w:rPr>
        <w:t xml:space="preserve">5.2 The Nuclear Spin Register</w:t>
      </w:r>
    </w:p>
    <w:p>
      <w:pPr>
        <w:spacing w:after="130" w:line="276"/>
      </w:pPr>
      <w:r>
        <w:rPr>
          <w:rFonts w:ascii="Arial" w:cs="Arial" w:eastAsia="Arial" w:hAnsi="Arial"/>
          <w:sz w:val="22"/>
          <w:szCs w:val="22"/>
        </w:rPr>
        <w:t xml:space="preserve">Each NV centre couples via hyperfine interaction to nearby ¹³C nuclear spins (spin-½). Control of up to 27 nuclear spins via a single NV electron spin has been demonstrated. Nuclear spin coherence times approach seconds under dynamical decoupling — orders of magnitude longer than the electron spin. In the QBP architecture, nuclear spins serve as </w:t>
      </w:r>
      <w:r>
        <w:rPr>
          <w:rFonts w:ascii="Arial" w:cs="Arial" w:eastAsia="Arial" w:hAnsi="Arial"/>
          <w:b/>
          <w:bCs/>
          <w:sz w:val="22"/>
          <w:szCs w:val="22"/>
        </w:rPr>
        <w:t xml:space="preserve">data qubits</w:t>
      </w:r>
      <w:r>
        <w:rPr>
          <w:rFonts w:ascii="Arial" w:cs="Arial" w:eastAsia="Arial" w:hAnsi="Arial"/>
          <w:sz w:val="22"/>
          <w:szCs w:val="22"/>
        </w:rPr>
        <w:t xml:space="preserve"> (hypergraph nodes storing algebraically-structured information), while the electron spin serves as the </w:t>
      </w:r>
      <w:r>
        <w:rPr>
          <w:rFonts w:ascii="Arial" w:cs="Arial" w:eastAsia="Arial" w:hAnsi="Arial"/>
          <w:b/>
          <w:bCs/>
          <w:sz w:val="22"/>
          <w:szCs w:val="22"/>
        </w:rPr>
        <w:t xml:space="preserve">communication qubit</w:t>
      </w:r>
      <w:r>
        <w:rPr>
          <w:rFonts w:ascii="Arial" w:cs="Arial" w:eastAsia="Arial" w:hAnsi="Arial"/>
          <w:sz w:val="22"/>
          <w:szCs w:val="22"/>
        </w:rPr>
        <w:t xml:space="preserve"> (interfacing optical and nuclear domains).</w:t>
      </w:r>
    </w:p>
    <w:p>
      <w:pPr>
        <w:pStyle w:val="Heading2"/>
        <w:spacing w:before="280" w:after="140"/>
      </w:pPr>
      <w:r>
        <w:rPr>
          <w:rFonts w:ascii="Arial" w:cs="Arial" w:eastAsia="Arial" w:hAnsi="Arial"/>
        </w:rPr>
        <w:t xml:space="preserve">5.3 Quantum Network Precedent</w:t>
      </w:r>
    </w:p>
    <w:p>
      <w:pPr>
        <w:spacing w:after="130" w:line="276"/>
      </w:pPr>
      <w:r>
        <w:rPr>
          <w:rFonts w:ascii="Arial" w:cs="Arial" w:eastAsia="Arial" w:hAnsi="Arial"/>
          <w:sz w:val="22"/>
          <w:szCs w:val="22"/>
        </w:rPr>
        <w:t xml:space="preserve">The Delft group has demonstrated a three-node quantum network based on NV centres in diamond linked by optical fibres, with one node featuring a ¹³C memory qubit for entanglement storage. Harvard/Lončar have demonstrated SiV centres in fibre-coupled diamond photonic crystal cavities with cooperativity &gt;100. Heterogeneous integration of NV centres with standard 180nm CMOS foundry silicon nitride photonics has been demonstrated. The components exist; the QBP contribution is recognising that they implement a single algebraic pipeline.</w:t>
      </w:r>
    </w:p>
    <w:p>
      <w:pPr>
        <w:pStyle w:val="Heading1"/>
        <w:spacing w:before="360" w:after="160"/>
      </w:pPr>
      <w:r>
        <w:rPr>
          <w:rFonts w:ascii="Arial" w:cs="Arial" w:eastAsia="Arial" w:hAnsi="Arial"/>
        </w:rPr>
        <w:t xml:space="preserve">6. Revised Hardware Progression: Crawl – Walk – Run – Glide – Fly</w:t>
      </w:r>
    </w:p>
    <w:p>
      <w:pPr>
        <w:spacing w:after="130" w:line="276"/>
      </w:pPr>
      <w:r>
        <w:rPr>
          <w:rFonts w:ascii="Arial" w:cs="Arial" w:eastAsia="Arial" w:hAnsi="Arial"/>
          <w:sz w:val="22"/>
          <w:szCs w:val="22"/>
        </w:rPr>
        <w:t xml:space="preserve">Rev 2.0 introduces the Glide phase: optical prototype of the algebraic pipeline using commercial SLMs coupled to NV centres, before monolithic diamond fabrication.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400"/>
        <w:gridCol w:w="1900"/>
        <w:gridCol w:w="1660"/>
      </w:tblGrid>
      <w:tr>
        <w:tc>
          <w:tcPr>
            <w:tcW w:type="dxa" w:w="11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3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Hardware</w:t>
            </w:r>
          </w:p>
        </w:tc>
        <w:tc>
          <w:tcPr>
            <w:tcW w:type="dxa" w:w="2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Objective</w:t>
            </w:r>
          </w:p>
        </w:tc>
        <w:tc>
          <w:tcPr>
            <w:tcW w:type="dxa" w:w="19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Success Criterion</w:t>
            </w:r>
          </w:p>
        </w:tc>
        <w:tc>
          <w:tcPr>
            <w:tcW w:type="dxa" w:w="16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Precision</w:t>
            </w:r>
          </w:p>
        </w:tc>
      </w:tr>
      <w:tr>
        <w:tc>
          <w:tcPr>
            <w:tcW w:type="dxa" w:w="11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Crawl</w:t>
            </w:r>
          </w:p>
        </w:tc>
        <w:tc>
          <w:tcPr>
            <w:tcW w:type="dxa" w:w="23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AMD FX-8350, 32GB DDR3. Go software emulation.</w:t>
            </w:r>
          </w:p>
        </w:tc>
        <w:tc>
          <w:tcPr>
            <w:tcW w:type="dxa" w:w="2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Prove QBP-algebraic computation produces measurably different results.</w:t>
            </w:r>
          </w:p>
        </w:tc>
        <w:tc>
          <w:tcPr>
            <w:tcW w:type="dxa" w:w="19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11.3× op advantage. 2× norm preservation. ✔ ACHIEVED.</w:t>
            </w:r>
          </w:p>
        </w:tc>
        <w:tc>
          <w:tcPr>
            <w:tcW w:type="dxa" w:w="16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QW64 (software), QW8–QW128 benchmarked</w:t>
            </w:r>
          </w:p>
        </w:tc>
      </w:tr>
      <w:tr>
        <w:tc>
          <w:tcPr>
            <w:tcW w:type="dxa" w:w="11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Walk</w:t>
            </w:r>
          </w:p>
        </w:tc>
        <w:tc>
          <w:tcPr>
            <w:tcW w:type="dxa" w:w="23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PowerColor Red Devil RX 9070 XT (RDNA 4, 16GB), ROCm.</w:t>
            </w:r>
          </w:p>
        </w:tc>
        <w:tc>
          <w:tcPr>
            <w:tcW w:type="dxa" w:w="2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GPU-accelerated algebraic kernels outperform conventional pipelines.</w:t>
            </w:r>
          </w:p>
        </w:tc>
        <w:tc>
          <w:tcPr>
            <w:tcW w:type="dxa" w:w="19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Measurable latency or fidelity advantage on GPU.</w:t>
            </w:r>
          </w:p>
        </w:tc>
        <w:tc>
          <w:tcPr>
            <w:tcW w:type="dxa" w:w="16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Scalable: QW32 (GPU native), QW64 (CPU)</w:t>
            </w:r>
          </w:p>
        </w:tc>
      </w:tr>
      <w:tr>
        <w:tc>
          <w:tcPr>
            <w:tcW w:type="dxa" w:w="11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Run</w:t>
            </w:r>
          </w:p>
        </w:tc>
        <w:tc>
          <w:tcPr>
            <w:tcW w:type="dxa" w:w="23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Custom RISC-V with QMUL/OMAC/QROT/FANO. CIM-SRAM. OpenMPW 130nm.</w:t>
            </w:r>
          </w:p>
        </w:tc>
        <w:tc>
          <w:tcPr>
            <w:tcW w:type="dxa" w:w="2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Silicon that speaks QBP algebra natively. Single-cycle QMUL.</w:t>
            </w:r>
          </w:p>
        </w:tc>
        <w:tc>
          <w:tcPr>
            <w:tcW w:type="dxa" w:w="19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Tape-out functional. OMAC in one cycle. Correct spreading activation.</w:t>
            </w:r>
          </w:p>
        </w:tc>
        <w:tc>
          <w:tcPr>
            <w:tcW w:type="dxa" w:w="16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Scalable: QW8–QW256. Physics starts at QW128 (Q ext.)</w:t>
            </w:r>
          </w:p>
        </w:tc>
      </w:tr>
      <w:tr>
        <w:tc>
          <w:tcPr>
            <w:tcW w:type="dxa" w:w="11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Glide</w:t>
            </w:r>
          </w:p>
        </w:tc>
        <w:tc>
          <w:tcPr>
            <w:tcW w:type="dxa" w:w="23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Commercial SLMs (Ammendola-type platform) → fibre → NV centre in diamond cavity → nuclear spin register.</w:t>
            </w:r>
          </w:p>
        </w:tc>
        <w:tc>
          <w:tcPr>
            <w:tcW w:type="dxa" w:w="2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Optical–spin algebraic pipeline. Prove SU(2) preserved across domain boundaries.</w:t>
            </w:r>
          </w:p>
        </w:tc>
        <w:tc>
          <w:tcPr>
            <w:tcW w:type="dxa" w:w="19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Spin state measured after optical QMUL matches prediction. Entanglement across interface.</w:t>
            </w:r>
          </w:p>
        </w:tc>
        <w:tc>
          <w:tcPr>
            <w:tcW w:type="dxa" w:w="16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Physical SU(2) (∞ in optics, quantum in spin)</w:t>
            </w:r>
          </w:p>
        </w:tc>
      </w:tr>
      <w:tr>
        <w:tc>
          <w:tcPr>
            <w:tcW w:type="dxa" w:w="11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Fly</w:t>
            </w:r>
          </w:p>
        </w:tc>
        <w:tc>
          <w:tcPr>
            <w:tcW w:type="dxa" w:w="23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Monolithic synthetic diamond. NV centres + optical waveguides + nuclear registers in single crystal.</w:t>
            </w:r>
          </w:p>
        </w:tc>
        <w:tc>
          <w:tcPr>
            <w:tcW w:type="dxa" w:w="2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Complete sense-compute-act in one substrate. No external optics.</w:t>
            </w:r>
          </w:p>
        </w:tc>
        <w:tc>
          <w:tcPr>
            <w:tcW w:type="dxa" w:w="19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Full pipeline operational. Algebraic error correction demonstrated.</w:t>
            </w:r>
          </w:p>
        </w:tc>
        <w:tc>
          <w:tcPr>
            <w:tcW w:type="dxa" w:w="16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Physical SU(2) throughout</w:t>
            </w:r>
          </w:p>
        </w:tc>
      </w:tr>
    </w:tbl>
    <w:p>
      <w:pPr>
        <w:spacing w:after="100"/>
      </w:pPr>
    </w:p>
    <w:p>
      <w:pPr>
        <w:pBdr>
          <w:left w:val="single" w:color="1B4F72" w:sz="6" w:space="8"/>
        </w:pBdr>
        <w:spacing w:after="180"/>
        <w:ind w:left="360" w:right="360"/>
      </w:pPr>
      <w:r>
        <w:rPr>
          <w:rFonts w:ascii="Arial" w:cs="Arial" w:eastAsia="Arial" w:hAnsi="Arial"/>
          <w:b/>
          <w:bCs/>
          <w:sz w:val="22"/>
          <w:szCs w:val="22"/>
        </w:rPr>
        <w:t xml:space="preserve">Key change from Rev 1.0: </w:t>
      </w:r>
      <w:r>
        <w:rPr>
          <w:rFonts w:ascii="Arial" w:cs="Arial" w:eastAsia="Arial" w:hAnsi="Arial"/>
          <w:sz w:val="22"/>
          <w:szCs w:val="22"/>
        </w:rPr>
        <w:t xml:space="preserve">The Glide phase decouples the optical algebraic pipeline proof from the diamond fabrication risk. If the algebra is preserved across the SLM–fibre–NV–nuclear chain using commercial components, then Fly is an integration exercise, not a research question.</w:t>
      </w:r>
    </w:p>
    <w:p>
      <w:pPr>
        <w:pStyle w:val="Heading1"/>
        <w:spacing w:before="360" w:after="160"/>
      </w:pPr>
      <w:r>
        <w:rPr>
          <w:rFonts w:ascii="Arial" w:cs="Arial" w:eastAsia="Arial" w:hAnsi="Arial"/>
        </w:rPr>
        <w:t xml:space="preserve">7. Glide Phase: Detailed Architecture</w:t>
      </w:r>
    </w:p>
    <w:p>
      <w:pPr>
        <w:spacing w:after="130" w:line="276"/>
      </w:pPr>
      <w:r>
        <w:rPr>
          <w:rFonts w:ascii="Arial" w:cs="Arial" w:eastAsia="Arial" w:hAnsi="Arial"/>
          <w:sz w:val="22"/>
          <w:szCs w:val="22"/>
        </w:rPr>
        <w:t xml:space="preserve">The Glide phase assembles commercially available components into the first physical instance of the QBP sense-compute-act pipeline.</w:t>
      </w:r>
    </w:p>
    <w:p>
      <w:pPr>
        <w:pStyle w:val="Heading2"/>
        <w:spacing w:before="280" w:after="140"/>
      </w:pPr>
      <w:r>
        <w:rPr>
          <w:rFonts w:ascii="Arial" w:cs="Arial" w:eastAsia="Arial" w:hAnsi="Arial"/>
        </w:rPr>
        <w:t xml:space="preserve">7.1 Component Stack</w:t>
      </w:r>
    </w:p>
    <w:p>
      <w:pPr>
        <w:pStyle w:val="ListParagraph"/>
        <w:numPr>
          <w:ilvl w:val="0"/>
          <w:numId w:val="2"/>
        </w:numPr>
        <w:spacing w:after="70" w:line="276"/>
      </w:pPr>
      <w:r>
        <w:rPr>
          <w:rFonts w:ascii="Arial" w:cs="Arial" w:eastAsia="Arial" w:hAnsi="Arial"/>
          <w:b/>
          <w:bCs/>
          <w:sz w:val="22"/>
          <w:szCs w:val="22"/>
        </w:rPr>
        <w:t xml:space="preserve">Three-SLM optical processor (Ammendola configuration). </w:t>
      </w:r>
      <w:r>
        <w:rPr>
          <w:rFonts w:ascii="Arial" w:cs="Arial" w:eastAsia="Arial" w:hAnsi="Arial"/>
          <w:sz w:val="22"/>
          <w:szCs w:val="22"/>
        </w:rPr>
        <w:t xml:space="preserve">Hamamatsu LCOS-SLMs, 810nm. Three SLMs in relay imaging (4f) configuration with intermediate HWPs. Programs arbitrary SU(2) from analytical hologram solutions. This is the SENSE + optical COMPUTE stage.</w:t>
      </w:r>
    </w:p>
    <w:p>
      <w:pPr>
        <w:pStyle w:val="ListParagraph"/>
        <w:numPr>
          <w:ilvl w:val="0"/>
          <w:numId w:val="2"/>
        </w:numPr>
        <w:spacing w:after="70" w:line="276"/>
      </w:pPr>
      <w:r>
        <w:rPr>
          <w:rFonts w:ascii="Arial" w:cs="Arial" w:eastAsia="Arial" w:hAnsi="Arial"/>
          <w:b/>
          <w:bCs/>
          <w:sz w:val="22"/>
          <w:szCs w:val="22"/>
        </w:rPr>
        <w:t xml:space="preserve">Single-mode fibre coupling. </w:t>
      </w:r>
      <w:r>
        <w:rPr>
          <w:rFonts w:ascii="Arial" w:cs="Arial" w:eastAsia="Arial" w:hAnsi="Arial"/>
          <w:sz w:val="22"/>
          <w:szCs w:val="22"/>
        </w:rPr>
        <w:t xml:space="preserve">Output of SLM platform coupled into single-mode fibre carrying polarisation-encoded quaternion state to diamond module.</w:t>
      </w:r>
    </w:p>
    <w:p>
      <w:pPr>
        <w:pStyle w:val="ListParagraph"/>
        <w:numPr>
          <w:ilvl w:val="0"/>
          <w:numId w:val="2"/>
        </w:numPr>
        <w:spacing w:after="70" w:line="276"/>
      </w:pPr>
      <w:r>
        <w:rPr>
          <w:rFonts w:ascii="Arial" w:cs="Arial" w:eastAsia="Arial" w:hAnsi="Arial"/>
          <w:b/>
          <w:bCs/>
          <w:sz w:val="22"/>
          <w:szCs w:val="22"/>
        </w:rPr>
        <w:t xml:space="preserve">Diamond photonic crystal cavity with NV centre. </w:t>
      </w:r>
      <w:r>
        <w:rPr>
          <w:rFonts w:ascii="Arial" w:cs="Arial" w:eastAsia="Arial" w:hAnsi="Arial"/>
          <w:sz w:val="22"/>
          <w:szCs w:val="22"/>
        </w:rPr>
        <w:t xml:space="preserve">Fibre-coupled. Cryogenic (4K) for long spin coherence. The NV centre’s spin–photon selection rules map the optical quaternion to an electron spin state. This is the INTERFACE.</w:t>
      </w:r>
    </w:p>
    <w:p>
      <w:pPr>
        <w:pStyle w:val="ListParagraph"/>
        <w:numPr>
          <w:ilvl w:val="0"/>
          <w:numId w:val="2"/>
        </w:numPr>
        <w:spacing w:after="70" w:line="276"/>
      </w:pPr>
      <w:r>
        <w:rPr>
          <w:rFonts w:ascii="Arial" w:cs="Arial" w:eastAsia="Arial" w:hAnsi="Arial"/>
          <w:b/>
          <w:bCs/>
          <w:sz w:val="22"/>
          <w:szCs w:val="22"/>
        </w:rPr>
        <w:t xml:space="preserve">Nuclear spin register. </w:t>
      </w:r>
      <w:r>
        <w:rPr>
          <w:rFonts w:ascii="Arial" w:cs="Arial" w:eastAsia="Arial" w:hAnsi="Arial"/>
          <w:sz w:val="22"/>
          <w:szCs w:val="22"/>
        </w:rPr>
        <w:t xml:space="preserve">13C spins coupled to the NV centre via hyperfine interaction. Microwave + RF control. This is the COMPUTE / MEMORY stage. Spin states are the physical instantiation of hypergraph nodes.</w:t>
      </w:r>
    </w:p>
    <w:p>
      <w:pPr>
        <w:pStyle w:val="ListParagraph"/>
        <w:numPr>
          <w:ilvl w:val="0"/>
          <w:numId w:val="2"/>
        </w:numPr>
        <w:spacing w:after="70" w:line="276"/>
      </w:pPr>
      <w:r>
        <w:rPr>
          <w:rFonts w:ascii="Arial" w:cs="Arial" w:eastAsia="Arial" w:hAnsi="Arial"/>
          <w:b/>
          <w:bCs/>
          <w:sz w:val="22"/>
          <w:szCs w:val="22"/>
        </w:rPr>
        <w:t xml:space="preserve">Fluorescence readout. </w:t>
      </w:r>
      <w:r>
        <w:rPr>
          <w:rFonts w:ascii="Arial" w:cs="Arial" w:eastAsia="Arial" w:hAnsi="Arial"/>
          <w:sz w:val="22"/>
          <w:szCs w:val="22"/>
        </w:rPr>
        <w:t xml:space="preserve">NV fluorescence re-emits spin-entangled photons. Detected by TPX3CAM (nanosecond time-resolution, spatial mode resolution) or fibre-coupled SPADs. This is the ACT stage, closing the loop.</w:t>
      </w:r>
    </w:p>
    <w:p>
      <w:pPr>
        <w:pStyle w:val="Heading2"/>
        <w:spacing w:before="280" w:after="140"/>
      </w:pPr>
      <w:r>
        <w:rPr>
          <w:rFonts w:ascii="Arial" w:cs="Arial" w:eastAsia="Arial" w:hAnsi="Arial"/>
        </w:rPr>
        <w:t xml:space="preserve">7.2 The Experiment</w:t>
      </w:r>
    </w:p>
    <w:p>
      <w:pPr>
        <w:spacing w:after="130" w:line="276"/>
      </w:pPr>
      <w:r>
        <w:rPr>
          <w:rFonts w:ascii="Arial" w:cs="Arial" w:eastAsia="Arial" w:hAnsi="Arial"/>
          <w:sz w:val="22"/>
          <w:szCs w:val="22"/>
        </w:rPr>
        <w:t xml:space="preserve">The Glide-phase validation experiment is:</w:t>
      </w:r>
    </w:p>
    <w:p>
      <w:pPr>
        <w:pStyle w:val="ListParagraph"/>
        <w:numPr>
          <w:ilvl w:val="0"/>
          <w:numId w:val="2"/>
        </w:numPr>
        <w:spacing w:after="70" w:line="276"/>
      </w:pPr>
      <w:r>
        <w:rPr>
          <w:rFonts w:ascii="Arial" w:cs="Arial" w:eastAsia="Arial" w:hAnsi="Arial"/>
          <w:sz w:val="22"/>
          <w:szCs w:val="22"/>
        </w:rPr>
        <w:t xml:space="preserve">Program the three-SLM platform with QBP-algebraic holograms implementing a known quaternion rotation qₜₑₛₜ.</w:t>
      </w:r>
    </w:p>
    <w:p>
      <w:pPr>
        <w:pStyle w:val="ListParagraph"/>
        <w:numPr>
          <w:ilvl w:val="0"/>
          <w:numId w:val="2"/>
        </w:numPr>
        <w:spacing w:after="70" w:line="276"/>
      </w:pPr>
      <w:r>
        <w:rPr>
          <w:rFonts w:ascii="Arial" w:cs="Arial" w:eastAsia="Arial" w:hAnsi="Arial"/>
          <w:sz w:val="22"/>
          <w:szCs w:val="22"/>
        </w:rPr>
        <w:t xml:space="preserve">Send a horizontally-polarised photon (= quaternion identity) through the optical processor. The output is the polarisation state corresponding to qₜₑₛₜ|H⟩.</w:t>
      </w:r>
    </w:p>
    <w:p>
      <w:pPr>
        <w:pStyle w:val="ListParagraph"/>
        <w:numPr>
          <w:ilvl w:val="0"/>
          <w:numId w:val="2"/>
        </w:numPr>
        <w:spacing w:after="70" w:line="276"/>
      </w:pPr>
      <w:r>
        <w:rPr>
          <w:rFonts w:ascii="Arial" w:cs="Arial" w:eastAsia="Arial" w:hAnsi="Arial"/>
          <w:sz w:val="22"/>
          <w:szCs w:val="22"/>
        </w:rPr>
        <w:t xml:space="preserve">Couple this photon into the diamond cavity. The NV centre maps the polarisation state to electron spin via selection rules.</w:t>
      </w:r>
    </w:p>
    <w:p>
      <w:pPr>
        <w:pStyle w:val="ListParagraph"/>
        <w:numPr>
          <w:ilvl w:val="0"/>
          <w:numId w:val="2"/>
        </w:numPr>
        <w:spacing w:after="70" w:line="276"/>
      </w:pPr>
      <w:r>
        <w:rPr>
          <w:rFonts w:ascii="Arial" w:cs="Arial" w:eastAsia="Arial" w:hAnsi="Arial"/>
          <w:sz w:val="22"/>
          <w:szCs w:val="22"/>
        </w:rPr>
        <w:t xml:space="preserve">Measure the electron spin state via resonance fluorescence.</w:t>
      </w:r>
    </w:p>
    <w:p>
      <w:pPr>
        <w:pStyle w:val="ListParagraph"/>
        <w:numPr>
          <w:ilvl w:val="0"/>
          <w:numId w:val="2"/>
        </w:numPr>
        <w:spacing w:after="70" w:line="276"/>
      </w:pPr>
      <w:r>
        <w:rPr>
          <w:rFonts w:ascii="Arial" w:cs="Arial" w:eastAsia="Arial" w:hAnsi="Arial"/>
          <w:sz w:val="22"/>
          <w:szCs w:val="22"/>
        </w:rPr>
        <w:t xml:space="preserve">Compare the measured spin state to the theoretically predicted result of applying qₜₑₛₜ to the input state.</w:t>
      </w:r>
    </w:p>
    <w:p>
      <w:pPr>
        <w:spacing w:after="130" w:line="276"/>
      </w:pPr>
      <w:r>
        <w:rPr>
          <w:rFonts w:ascii="Arial" w:cs="Arial" w:eastAsia="Arial" w:hAnsi="Arial"/>
          <w:sz w:val="22"/>
          <w:szCs w:val="22"/>
        </w:rPr>
        <w:t xml:space="preserve">If the measured spin state matches the prediction, the algebra is preserved across the optical–spin domain boundary. The QBP pipeline works in hardware.</w:t>
      </w:r>
    </w:p>
    <w:p>
      <w:pPr>
        <w:pStyle w:val="Heading2"/>
        <w:spacing w:before="280" w:after="140"/>
      </w:pPr>
      <w:r>
        <w:rPr>
          <w:rFonts w:ascii="Arial" w:cs="Arial" w:eastAsia="Arial" w:hAnsi="Arial"/>
        </w:rPr>
        <w:t xml:space="preserve">7.3 Extended Experiments</w:t>
      </w:r>
    </w:p>
    <w:p>
      <w:pPr>
        <w:pStyle w:val="ListParagraph"/>
        <w:numPr>
          <w:ilvl w:val="0"/>
          <w:numId w:val="3"/>
        </w:numPr>
        <w:spacing w:after="70" w:line="276"/>
      </w:pPr>
      <w:r>
        <w:rPr>
          <w:rFonts w:ascii="Arial" w:cs="Arial" w:eastAsia="Arial" w:hAnsi="Arial"/>
          <w:b/>
          <w:bCs/>
          <w:sz w:val="22"/>
          <w:szCs w:val="22"/>
        </w:rPr>
        <w:t xml:space="preserve">Composition test: </w:t>
      </w:r>
      <w:r>
        <w:rPr>
          <w:rFonts w:ascii="Arial" w:cs="Arial" w:eastAsia="Arial" w:hAnsi="Arial"/>
          <w:sz w:val="22"/>
          <w:szCs w:val="22"/>
        </w:rPr>
        <w:t xml:space="preserve">Chain multiple optical QMUL operations before the NV interface. Compare spin-state fidelity after N optical steps to verify that the physically-enforced unitarity of the optical domain produces measurably better results than the QW128 electronic pipeline for the same computation.</w:t>
      </w:r>
    </w:p>
    <w:p>
      <w:pPr>
        <w:pStyle w:val="ListParagraph"/>
        <w:numPr>
          <w:ilvl w:val="0"/>
          <w:numId w:val="3"/>
        </w:numPr>
        <w:spacing w:after="70" w:line="276"/>
      </w:pPr>
      <w:r>
        <w:rPr>
          <w:rFonts w:ascii="Arial" w:cs="Arial" w:eastAsia="Arial" w:hAnsi="Arial"/>
          <w:b/>
          <w:bCs/>
          <w:sz w:val="22"/>
          <w:szCs w:val="22"/>
        </w:rPr>
        <w:t xml:space="preserve">Hypergraph integration: </w:t>
      </w:r>
      <w:r>
        <w:rPr>
          <w:rFonts w:ascii="Arial" w:cs="Arial" w:eastAsia="Arial" w:hAnsi="Arial"/>
          <w:sz w:val="22"/>
          <w:szCs w:val="22"/>
        </w:rPr>
        <w:t xml:space="preserve">Use the nuclear spin register to store intermediate results as typed hypergraph nodes. Perform spreading activation (sparse matrix-vector multiply) on the nuclear register. Read out via fluorescence and compare to the Go software benchmark.</w:t>
      </w:r>
    </w:p>
    <w:p>
      <w:pPr>
        <w:pStyle w:val="ListParagraph"/>
        <w:numPr>
          <w:ilvl w:val="0"/>
          <w:numId w:val="3"/>
        </w:numPr>
        <w:spacing w:after="70" w:line="276"/>
      </w:pPr>
      <w:r>
        <w:rPr>
          <w:rFonts w:ascii="Arial" w:cs="Arial" w:eastAsia="Arial" w:hAnsi="Arial"/>
          <w:b/>
          <w:bCs/>
          <w:sz w:val="22"/>
          <w:szCs w:val="22"/>
        </w:rPr>
        <w:t xml:space="preserve">Multi-node: </w:t>
      </w:r>
      <w:r>
        <w:rPr>
          <w:rFonts w:ascii="Arial" w:cs="Arial" w:eastAsia="Arial" w:hAnsi="Arial"/>
          <w:sz w:val="22"/>
          <w:szCs w:val="22"/>
        </w:rPr>
        <w:t xml:space="preserve">Two NV centres in separate cavities linked by fibre. Entangle via spin–photon interface. Demonstrate distributed algebraic computation across physical nodes. This is the BMA-BRIDGE protocol in hardware.</w:t>
      </w:r>
    </w:p>
    <w:p>
      <w:pPr>
        <w:pStyle w:val="Heading1"/>
        <w:spacing w:before="360" w:after="160"/>
      </w:pPr>
      <w:r>
        <w:rPr>
          <w:rFonts w:ascii="Arial" w:cs="Arial" w:eastAsia="Arial" w:hAnsi="Arial"/>
        </w:rPr>
        <w:t xml:space="preserve">8. Project Convergence Map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Project</w:t>
            </w:r>
          </w:p>
        </w:tc>
        <w:tc>
          <w:tcPr>
            <w:tcW w:type="dxa" w:w="378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Contribution to Rev 2.0</w:t>
            </w:r>
          </w:p>
        </w:tc>
        <w:tc>
          <w:tcPr>
            <w:tcW w:type="dxa" w:w="378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What It Tests</w:t>
            </w:r>
          </w:p>
        </w:tc>
      </w:tr>
      <w:tr>
        <w:tc>
          <w:tcPr>
            <w:tcW w:type="dxa" w:w="18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QBP</w:t>
            </w:r>
          </w:p>
        </w:tc>
        <w:tc>
          <w:tcPr>
            <w:tcW w:type="dxa" w:w="37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Central hypothesis. Quaternion algebra constrains or describes physical law. Optical SU(2) as test vehicle.</w:t>
            </w:r>
          </w:p>
        </w:tc>
        <w:tc>
          <w:tcPr>
            <w:tcW w:type="dxa" w:w="37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Does algebraically-native computation across optical and spin domains produce better physical simulations?</w:t>
            </w:r>
          </w:p>
        </w:tc>
      </w:tr>
      <w:tr>
        <w:tc>
          <w:tcPr>
            <w:tcW w:type="dxa" w:w="18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BMA</w:t>
            </w:r>
          </w:p>
        </w:tc>
        <w:tc>
          <w:tcPr>
            <w:tcW w:type="dxa" w:w="37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Octonionic hypergraph, Fano LUT, OMAC/TMAC instructions, CIM-SRAM. Nuclear spin register as physical hypergraph.</w:t>
            </w:r>
          </w:p>
        </w:tc>
        <w:tc>
          <w:tcPr>
            <w:tcW w:type="dxa" w:w="37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Can the same algebraic engine serve inference, physical modelling, and memory? Do nuclear spins implement a useful hypergraph?</w:t>
            </w:r>
          </w:p>
        </w:tc>
      </w:tr>
      <w:tr>
        <w:tc>
          <w:tcPr>
            <w:tcW w:type="dxa" w:w="18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Franky-Cap</w:t>
            </w:r>
          </w:p>
        </w:tc>
        <w:tc>
          <w:tcPr>
            <w:tcW w:type="dxa" w:w="37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REBCO cryogenic engineering. Hull magnetron cutoff. Vacuum-gap design. Geometry-determined thermal management.</w:t>
            </w:r>
          </w:p>
        </w:tc>
        <w:tc>
          <w:tcPr>
            <w:tcW w:type="dxa" w:w="37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Can the 4K environment for NV centres be maintained with zero-moving-parts cooling?</w:t>
            </w:r>
          </w:p>
        </w:tc>
      </w:tr>
      <w:tr>
        <w:tc>
          <w:tcPr>
            <w:tcW w:type="dxa" w:w="18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Möbius Fusion</w:t>
            </w:r>
          </w:p>
        </w:tc>
        <w:tc>
          <w:tcPr>
            <w:tcW w:type="dxa" w:w="37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Thermionic cascade (273K → 4K). Five-level thermal cache.</w:t>
            </w:r>
          </w:p>
        </w:tc>
        <w:tc>
          <w:tcPr>
            <w:tcW w:type="dxa" w:w="37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Does the thermionic cascade achieve target gradient for the diamond cavity?</w:t>
            </w:r>
          </w:p>
        </w:tc>
      </w:tr>
      <w:tr>
        <w:tc>
          <w:tcPr>
            <w:tcW w:type="dxa" w:w="18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Ammendola (external)</w:t>
            </w:r>
          </w:p>
        </w:tc>
        <w:tc>
          <w:tcPr>
            <w:tcW w:type="dxa" w:w="37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Three-layer SLM platform. Proof that optical SU(2) computation is physically realisable, programmable, and scalable to 7,000+ modes.</w:t>
            </w:r>
          </w:p>
        </w:tc>
        <w:tc>
          <w:tcPr>
            <w:tcW w:type="dxa" w:w="37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Can their platform be reprogrammed with QBP-native holograms? (Predicted: yes, the math is identical.)</w:t>
            </w:r>
          </w:p>
        </w:tc>
      </w:tr>
    </w:tbl>
    <w:p>
      <w:pPr>
        <w:spacing w:after="100"/>
      </w:pPr>
    </w:p>
    <w:p>
      <w:pPr>
        <w:pStyle w:val="Heading1"/>
        <w:spacing w:before="360" w:after="160"/>
      </w:pPr>
      <w:r>
        <w:rPr>
          <w:rFonts w:ascii="Arial" w:cs="Arial" w:eastAsia="Arial" w:hAnsi="Arial"/>
        </w:rPr>
        <w:t xml:space="preserve">9. Immediate Next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0"/>
        <w:gridCol w:w="1600"/>
        <w:gridCol w:w="1760"/>
      </w:tblGrid>
      <w:tr>
        <w:tc>
          <w:tcPr>
            <w:tcW w:type="dxa" w:w="5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5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1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7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Dependency</w:t>
            </w:r>
          </w:p>
        </w:tc>
      </w:tr>
      <w:tr>
        <w:tc>
          <w:tcPr>
            <w:tcW w:type="dxa" w:w="5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3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Publish Crawl benchmark results to QBP GitHub repo</w:t>
            </w:r>
          </w:p>
        </w:tc>
        <w:tc>
          <w:tcPr>
            <w:tcW w:type="dxa" w:w="2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James + Claude</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Crawl</w:t>
            </w:r>
          </w:p>
        </w:tc>
        <w:tc>
          <w:tcPr>
            <w:tcW w:type="dxa" w:w="1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None (✔ code ready)</w:t>
            </w:r>
          </w:p>
        </w:tc>
      </w:tr>
      <w:tr>
        <w:tc>
          <w:tcPr>
            <w:tcW w:type="dxa" w:w="5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3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ROCm kernel port of QMUL/OMAC/Fano for RX 9070 XT</w:t>
            </w:r>
          </w:p>
        </w:tc>
        <w:tc>
          <w:tcPr>
            <w:tcW w:type="dxa" w:w="2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James + Claude</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Walk</w:t>
            </w:r>
          </w:p>
        </w:tc>
        <w:tc>
          <w:tcPr>
            <w:tcW w:type="dxa" w:w="1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Action 1</w:t>
            </w:r>
          </w:p>
        </w:tc>
      </w:tr>
      <w:tr>
        <w:tc>
          <w:tcPr>
            <w:tcW w:type="dxa" w:w="5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3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Lean 4 verification of Fano LUT and norm preservation</w:t>
            </w:r>
          </w:p>
        </w:tc>
        <w:tc>
          <w:tcPr>
            <w:tcW w:type="dxa" w:w="2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James + Claude</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Any</w:t>
            </w:r>
          </w:p>
        </w:tc>
        <w:tc>
          <w:tcPr>
            <w:tcW w:type="dxa" w:w="1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None</w:t>
            </w:r>
          </w:p>
        </w:tc>
      </w:tr>
      <w:tr>
        <w:tc>
          <w:tcPr>
            <w:tcW w:type="dxa" w:w="5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4</w:t>
            </w:r>
          </w:p>
        </w:tc>
        <w:tc>
          <w:tcPr>
            <w:tcW w:type="dxa" w:w="3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Integrate spin-chain simulation with BMA octonionic hypergraph</w:t>
            </w:r>
          </w:p>
        </w:tc>
        <w:tc>
          <w:tcPr>
            <w:tcW w:type="dxa" w:w="2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James + Claude</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Crawl/Walk</w:t>
            </w:r>
          </w:p>
        </w:tc>
        <w:tc>
          <w:tcPr>
            <w:tcW w:type="dxa" w:w="1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Action 1</w:t>
            </w:r>
          </w:p>
        </w:tc>
      </w:tr>
      <w:tr>
        <w:tc>
          <w:tcPr>
            <w:tcW w:type="dxa" w:w="5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5</w:t>
            </w:r>
          </w:p>
        </w:tc>
        <w:tc>
          <w:tcPr>
            <w:tcW w:type="dxa" w:w="3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Contact Ammendola/Cardano group re: QBP hologram collaboration</w:t>
            </w:r>
          </w:p>
        </w:tc>
        <w:tc>
          <w:tcPr>
            <w:tcW w:type="dxa" w:w="2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James</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Glide prep</w:t>
            </w:r>
          </w:p>
        </w:tc>
        <w:tc>
          <w:tcPr>
            <w:tcW w:type="dxa" w:w="1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This document</w:t>
            </w:r>
          </w:p>
        </w:tc>
      </w:tr>
      <w:tr>
        <w:tc>
          <w:tcPr>
            <w:tcW w:type="dxa" w:w="5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6</w:t>
            </w:r>
          </w:p>
        </w:tc>
        <w:tc>
          <w:tcPr>
            <w:tcW w:type="dxa" w:w="3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Design QBP-native hologram set for three-SLM platform (spin-chain Hamiltonian as analytical SU(2) target)</w:t>
            </w:r>
          </w:p>
        </w:tc>
        <w:tc>
          <w:tcPr>
            <w:tcW w:type="dxa" w:w="2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James + Gemini</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Glide prep</w:t>
            </w:r>
          </w:p>
        </w:tc>
        <w:tc>
          <w:tcPr>
            <w:tcW w:type="dxa" w:w="1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Action 5</w:t>
            </w:r>
          </w:p>
        </w:tc>
      </w:tr>
      <w:tr>
        <w:tc>
          <w:tcPr>
            <w:tcW w:type="dxa" w:w="5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7</w:t>
            </w:r>
          </w:p>
        </w:tc>
        <w:tc>
          <w:tcPr>
            <w:tcW w:type="dxa" w:w="3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Survey available NV-centre cavity systems for Glide phase procurement</w:t>
            </w:r>
          </w:p>
        </w:tc>
        <w:tc>
          <w:tcPr>
            <w:tcW w:type="dxa" w:w="2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James</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Glide prep</w:t>
            </w:r>
          </w:p>
        </w:tc>
        <w:tc>
          <w:tcPr>
            <w:tcW w:type="dxa" w:w="1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None</w:t>
            </w:r>
          </w:p>
        </w:tc>
      </w:tr>
      <w:tr>
        <w:tc>
          <w:tcPr>
            <w:tcW w:type="dxa" w:w="5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8</w:t>
            </w:r>
          </w:p>
        </w:tc>
        <w:tc>
          <w:tcPr>
            <w:tcW w:type="dxa" w:w="35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RISC-V QMUL.128 / OMAC.8 ISA extension formal specification</w:t>
            </w:r>
          </w:p>
        </w:tc>
        <w:tc>
          <w:tcPr>
            <w:tcW w:type="dxa" w:w="20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James + Claude</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Run prep</w:t>
            </w:r>
          </w:p>
        </w:tc>
        <w:tc>
          <w:tcPr>
            <w:tcW w:type="dxa" w:w="1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Action 2</w:t>
            </w:r>
          </w:p>
        </w:tc>
      </w:tr>
    </w:tbl>
    <w:p>
      <w:pPr>
        <w:spacing w:after="100"/>
      </w:pPr>
    </w:p>
    <w:p>
      <w:pPr>
        <w:pStyle w:val="Heading1"/>
        <w:spacing w:before="360" w:after="160"/>
      </w:pPr>
      <w:r>
        <w:rPr>
          <w:rFonts w:ascii="Arial" w:cs="Arial" w:eastAsia="Arial" w:hAnsi="Arial"/>
        </w:rPr>
        <w:t xml:space="preserve">10. Open Questions (Updated for Rev 2.0)</w:t>
      </w:r>
    </w:p>
    <w:p>
      <w:pPr>
        <w:spacing w:after="130" w:line="276"/>
      </w:pPr>
      <w:r>
        <w:rPr>
          <w:rFonts w:ascii="Arial" w:cs="Arial" w:eastAsia="Arial" w:hAnsi="Arial"/>
          <w:sz w:val="22"/>
          <w:szCs w:val="22"/>
        </w:rPr>
        <w:t xml:space="preserve">Retained from Rev 1.0 plus new questions arising from the optical pipeline:</w:t>
      </w:r>
    </w:p>
    <w:p>
      <w:pPr>
        <w:pStyle w:val="ListParagraph"/>
        <w:numPr>
          <w:ilvl w:val="0"/>
          <w:numId w:val="3"/>
        </w:numPr>
        <w:spacing w:after="70" w:line="276"/>
      </w:pPr>
      <w:r>
        <w:rPr>
          <w:rFonts w:ascii="Arial" w:cs="Arial" w:eastAsia="Arial" w:hAnsi="Arial"/>
          <w:b/>
          <w:bCs/>
          <w:sz w:val="22"/>
          <w:szCs w:val="22"/>
        </w:rPr>
        <w:t xml:space="preserve">Orbital angular momentum as octonionic channels. </w:t>
      </w:r>
      <w:r>
        <w:rPr>
          <w:rFonts w:ascii="Arial" w:cs="Arial" w:eastAsia="Arial" w:hAnsi="Arial"/>
          <w:sz w:val="22"/>
          <w:szCs w:val="22"/>
        </w:rPr>
        <w:t xml:space="preserve">The Ammendola platform operates on transverse momentum modes. Can OAM (orbital angular momentum) modes encode the seven Fano edge types as physically distinct optical channels? OAM modes have integer quantum numbers — seven modes (l = −3 to +3) could map to seven imaginary octonion units.</w:t>
      </w:r>
    </w:p>
    <w:p>
      <w:pPr>
        <w:pStyle w:val="ListParagraph"/>
        <w:numPr>
          <w:ilvl w:val="0"/>
          <w:numId w:val="3"/>
        </w:numPr>
        <w:spacing w:after="70" w:line="276"/>
      </w:pPr>
      <w:r>
        <w:rPr>
          <w:rFonts w:ascii="Arial" w:cs="Arial" w:eastAsia="Arial" w:hAnsi="Arial"/>
          <w:b/>
          <w:bCs/>
          <w:sz w:val="22"/>
          <w:szCs w:val="22"/>
        </w:rPr>
        <w:t xml:space="preserve">SLM resolution vs. Fano-plane periodicity. </w:t>
      </w:r>
      <w:r>
        <w:rPr>
          <w:rFonts w:ascii="Arial" w:cs="Arial" w:eastAsia="Arial" w:hAnsi="Arial"/>
          <w:sz w:val="22"/>
          <w:szCs w:val="22"/>
        </w:rPr>
        <w:t xml:space="preserve">The analytical hologram solutions require spatial frequencies corresponding to quantised momentum units. What SLM pixel density is required to implement Fano-structured holograms without aliasing?</w:t>
      </w:r>
    </w:p>
    <w:p>
      <w:pPr>
        <w:pStyle w:val="ListParagraph"/>
        <w:numPr>
          <w:ilvl w:val="0"/>
          <w:numId w:val="3"/>
        </w:numPr>
        <w:spacing w:after="70" w:line="276"/>
      </w:pPr>
      <w:r>
        <w:rPr>
          <w:rFonts w:ascii="Arial" w:cs="Arial" w:eastAsia="Arial" w:hAnsi="Arial"/>
          <w:b/>
          <w:bCs/>
          <w:sz w:val="22"/>
          <w:szCs w:val="22"/>
        </w:rPr>
        <w:t xml:space="preserve">NV–nuclear spin hypergraph fidelity. </w:t>
      </w:r>
      <w:r>
        <w:rPr>
          <w:rFonts w:ascii="Arial" w:cs="Arial" w:eastAsia="Arial" w:hAnsi="Arial"/>
          <w:sz w:val="22"/>
          <w:szCs w:val="22"/>
        </w:rPr>
        <w:t xml:space="preserve">When nuclear spins store algebraically-typed information and the NV electron performs spreading activation, does the hyperfine coupling introduce systematic errors that correlate with specific edge types?</w:t>
      </w:r>
    </w:p>
    <w:p>
      <w:pPr>
        <w:pStyle w:val="ListParagraph"/>
        <w:numPr>
          <w:ilvl w:val="0"/>
          <w:numId w:val="3"/>
        </w:numPr>
        <w:spacing w:after="70" w:line="276"/>
      </w:pPr>
      <w:r>
        <w:rPr>
          <w:rFonts w:ascii="Arial" w:cs="Arial" w:eastAsia="Arial" w:hAnsi="Arial"/>
          <w:b/>
          <w:bCs/>
          <w:sz w:val="22"/>
          <w:szCs w:val="22"/>
        </w:rPr>
        <w:t xml:space="preserve">Fibre polarisation stability. </w:t>
      </w:r>
      <w:r>
        <w:rPr>
          <w:rFonts w:ascii="Arial" w:cs="Arial" w:eastAsia="Arial" w:hAnsi="Arial"/>
          <w:sz w:val="22"/>
          <w:szCs w:val="22"/>
        </w:rPr>
        <w:t xml:space="preserve">Single-mode fibre between SLM platform and diamond cavity must preserve polarisation state (the quaternion). What fibre length and stabilisation is required for &lt;1% algebraic fidelity loss?</w:t>
      </w:r>
    </w:p>
    <w:p>
      <w:pPr>
        <w:pStyle w:val="ListParagraph"/>
        <w:numPr>
          <w:ilvl w:val="0"/>
          <w:numId w:val="3"/>
        </w:numPr>
        <w:spacing w:after="70" w:line="276"/>
      </w:pPr>
      <w:r>
        <w:rPr>
          <w:rFonts w:ascii="Arial" w:cs="Arial" w:eastAsia="Arial" w:hAnsi="Arial"/>
          <w:b/>
          <w:bCs/>
          <w:sz w:val="22"/>
          <w:szCs w:val="22"/>
        </w:rPr>
        <w:t xml:space="preserve">Cryogenic SLM operation. </w:t>
      </w:r>
      <w:r>
        <w:rPr>
          <w:rFonts w:ascii="Arial" w:cs="Arial" w:eastAsia="Arial" w:hAnsi="Arial"/>
          <w:sz w:val="22"/>
          <w:szCs w:val="22"/>
        </w:rPr>
        <w:t xml:space="preserve">If the diamond cavity is at 4K, could the SLM platform also operate at cryogenic temperatures (reducing thermal noise)? Or must the optical–cryogenic boundary be a fibre interface?</w:t>
      </w:r>
    </w:p>
    <w:p>
      <w:pPr>
        <w:pStyle w:val="ListParagraph"/>
        <w:numPr>
          <w:ilvl w:val="0"/>
          <w:numId w:val="3"/>
        </w:numPr>
        <w:spacing w:after="70" w:line="276"/>
      </w:pPr>
      <w:r>
        <w:rPr>
          <w:rFonts w:ascii="Arial" w:cs="Arial" w:eastAsia="Arial" w:hAnsi="Arial"/>
          <w:b/>
          <w:bCs/>
          <w:sz w:val="22"/>
          <w:szCs w:val="22"/>
        </w:rPr>
        <w:t xml:space="preserve">Multi-NV scaling. </w:t>
      </w:r>
      <w:r>
        <w:rPr>
          <w:rFonts w:ascii="Arial" w:cs="Arial" w:eastAsia="Arial" w:hAnsi="Arial"/>
          <w:sz w:val="22"/>
          <w:szCs w:val="22"/>
        </w:rPr>
        <w:t xml:space="preserve">The Fly phase envisions many NV centres in one diamond lattice. What is the maximum NV density before cross-talk degrades individual node fidelity? How does this compare to the Fano-plane seven-node topology?</w:t>
      </w:r>
    </w:p>
    <w:p>
      <w:pPr>
        <w:pStyle w:val="ListParagraph"/>
        <w:numPr>
          <w:ilvl w:val="0"/>
          <w:numId w:val="3"/>
        </w:numPr>
        <w:spacing w:after="70" w:line="276"/>
      </w:pPr>
      <w:r>
        <w:rPr>
          <w:rFonts w:ascii="Arial" w:cs="Arial" w:eastAsia="Arial" w:hAnsi="Arial"/>
          <w:sz w:val="22"/>
          <w:szCs w:val="22"/>
        </w:rPr>
        <w:t xml:space="preserve">All open questions from Rev 1.0 Section 10 remain active (Fano orientation selection, Moufang identity interpretation, quantisation survival, etc.).</w:t>
      </w:r>
    </w:p>
    <w:p>
      <w:pPr>
        <w:spacing w:after="300"/>
      </w:pPr>
    </w:p>
    <w:p>
      <w:pPr>
        <w:pBdr>
          <w:top w:val="single" w:color="1B4F72" w:sz="2" w:space="12"/>
        </w:pBdr>
        <w:spacing w:before="400"/>
        <w:jc w:val="center"/>
      </w:pPr>
      <w:r>
        <w:rPr>
          <w:rFonts w:ascii="Arial" w:cs="Arial" w:eastAsia="Arial" w:hAnsi="Arial"/>
          <w:i/>
          <w:iCs/>
          <w:color w:val="95A5A6"/>
          <w:sz w:val="18"/>
          <w:szCs w:val="18"/>
        </w:rPr>
        <w:t xml:space="preserve">End of Document — QBP Compute Unit Architectural Specification Rev 2.0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QBP Compute Unit — Rev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2026-03-22T23:40:57.584Z</dcterms:created>
  <dcterms:modified xsi:type="dcterms:W3CDTF">2026-03-22T23:40:57.584Z</dcterms:modified>
</cp:coreProperties>
</file>

<file path=docProps/custom.xml><?xml version="1.0" encoding="utf-8"?>
<Properties xmlns="http://schemas.openxmlformats.org/officeDocument/2006/custom-properties" xmlns:vt="http://schemas.openxmlformats.org/officeDocument/2006/docPropsVTypes"/>
</file>