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2"/>
          <w:szCs w:val="52"/>
        </w:rPr>
        <w:t xml:space="preserve">BMA-BRIDGE</w:t>
      </w:r>
    </w:p>
    <w:p>
      <w:pPr>
        <w:spacing w:after="120"/>
        <w:jc w:val="center"/>
      </w:pPr>
      <w:r>
        <w:rPr>
          <w:rFonts w:ascii="Arial" w:cs="Arial" w:eastAsia="Arial" w:hAnsi="Arial"/>
          <w:color w:val="2E5984"/>
          <w:sz w:val="32"/>
          <w:szCs w:val="32"/>
        </w:rPr>
        <w:t xml:space="preserve">Inter-Model Communication Architecture</w:t>
      </w:r>
    </w:p>
    <w:p>
      <w:pPr>
        <w:spacing w:after="400"/>
        <w:jc w:val="center"/>
      </w:pPr>
      <w:r>
        <w:rPr>
          <w:rFonts w:ascii="Georgia" w:cs="Georgia" w:eastAsia="Georgia" w:hAnsi="Georgia"/>
          <w:i/>
          <w:iCs/>
          <w:color w:val="555555"/>
          <w:sz w:val="24"/>
          <w:szCs w:val="24"/>
        </w:rPr>
        <w:t xml:space="preserve">Provider-Agnostic Multi-Agent Collaboration for BMA</w:t>
      </w:r>
    </w:p>
    <w:p>
      <w:pPr>
        <w:pBdr>
          <w:bottom w:val="single" w:color="CCCCCC" w:sz="6" w:space="8"/>
        </w:pBdr>
        <w:spacing w:before="200" w:after="200"/>
      </w:pPr>
    </w:p>
    <w:p>
      <w:pPr>
        <w:spacing w:after="80"/>
        <w:jc w:val="center"/>
      </w:pPr>
      <w:r>
        <w:rPr>
          <w:rFonts w:ascii="Georgia" w:cs="Georgia" w:eastAsia="Georgia" w:hAnsi="Georgia"/>
          <w:color w:val="777777"/>
          <w:sz w:val="22"/>
          <w:szCs w:val="22"/>
        </w:rPr>
        <w:t xml:space="preserve">Biological Mind Architecture — QBP Project — March 2026</w:t>
      </w:r>
    </w:p>
    <w:p>
      <w:pPr>
        <w:spacing w:after="80"/>
        <w:jc w:val="center"/>
      </w:pPr>
      <w:r>
        <w:rPr>
          <w:rFonts w:ascii="Georgia" w:cs="Georgia" w:eastAsia="Georgia" w:hAnsi="Georgia"/>
          <w:color w:val="777777"/>
          <w:sz w:val="22"/>
          <w:szCs w:val="22"/>
        </w:rPr>
        <w:t xml:space="preserve">Pre-Addendum Design | Claude Opus 4.6 &amp; James Paget-Butler</w:t>
      </w:r>
    </w:p>
    <w:p>
      <w:pPr>
        <w:spacing w:after="80"/>
        <w:jc w:val="center"/>
      </w:pPr>
      <w:r>
        <w:rPr>
          <w:rFonts w:ascii="Georgia" w:cs="Georgia" w:eastAsia="Georgia" w:hAnsi="Georgia"/>
          <w:i/>
          <w:iCs/>
          <w:color w:val="999999"/>
          <w:sz w:val="20"/>
          <w:szCs w:val="20"/>
        </w:rPr>
        <w:t xml:space="preserve">Ancestral Reference: QBP repo (github.com/JamesPagetButler/QBP)</w:t>
      </w:r>
    </w:p>
    <w:p>
      <w:r>
        <w:br w:type="page"/>
      </w:r>
    </w:p>
    <w:p>
      <w:pPr>
        <w:pStyle w:val="Heading1"/>
        <w:spacing w:before="480" w:after="240"/>
      </w:pPr>
      <w:r>
        <w:rPr>
          <w:rFonts w:ascii="Arial" w:cs="Arial" w:eastAsia="Arial" w:hAnsi="Arial"/>
          <w:b/>
          <w:bCs/>
          <w:color w:val="1B3A5C"/>
          <w:sz w:val="36"/>
          <w:szCs w:val="36"/>
        </w:rPr>
        <w:t xml:space="preserve">1. The Problem</w:t>
      </w:r>
    </w:p>
    <w:p>
      <w:pPr>
        <w:pStyle w:val="Heading2"/>
        <w:spacing w:before="360" w:after="180"/>
      </w:pPr>
      <w:r>
        <w:rPr>
          <w:rFonts w:ascii="Arial" w:cs="Arial" w:eastAsia="Arial" w:hAnsi="Arial"/>
          <w:b/>
          <w:bCs/>
          <w:color w:val="2E5984"/>
          <w:sz w:val="30"/>
          <w:szCs w:val="30"/>
        </w:rPr>
        <w:t xml:space="preserve">1.1 BMA as the Memory Substrate of the Network</w:t>
      </w:r>
    </w:p>
    <w:p>
      <w:pPr>
        <w:spacing w:after="200" w:line="300"/>
      </w:pPr>
      <w:r>
        <w:rPr>
          <w:rFonts w:ascii="Georgia" w:cs="Georgia" w:eastAsia="Georgia" w:hAnsi="Georgia"/>
          <w:sz w:val="24"/>
          <w:szCs w:val="24"/>
        </w:rPr>
        <w:t xml:space="preserve">BMA has persistent memory, a typed hypergraph, sleep consolidation, collaborator models (BMA-USM), and an evolving understanding of its own knowledge gaps. The models it needs to talk to — Gemini, other Claude instances, local models, future systems — typically have none of these. Some have limited session memory. Some have nothing.</w:t>
      </w:r>
    </w:p>
    <w:p>
      <w:pPr>
        <w:spacing w:after="200" w:line="300"/>
      </w:pPr>
      <w:r>
        <w:rPr>
          <w:rFonts w:ascii="Georgia" w:cs="Georgia" w:eastAsia="Georgia" w:hAnsi="Georgia"/>
          <w:sz w:val="24"/>
          <w:szCs w:val="24"/>
        </w:rPr>
        <w:t xml:space="preserve">This means BMA is not just a participant in the collaboration network. It is the persistent memory of the network. When BMA calls Gemini, it is preparing the world-state that Gemini cannot maintain for itself. When Gemini responds, BMA integrates that response into a hypergraph that Gemini will never see again unless BMA re-prepares it. BMA is the DM for a party of players with varying degrees of amnesia.</w:t>
      </w:r>
    </w:p>
    <w:p>
      <w:pPr>
        <w:pBdr>
          <w:left w:val="single" w:color="2E5984" w:sz="12" w:space="8"/>
        </w:pBdr>
        <w:spacing w:before="200" w:after="200" w:line="300"/>
        <w:ind w:left="360" w:right="360"/>
      </w:pPr>
      <w:r>
        <w:rPr>
          <w:rFonts w:ascii="Georgia" w:cs="Georgia" w:eastAsia="Georgia" w:hAnsi="Georgia"/>
          <w:i/>
          <w:iCs/>
          <w:color w:val="333333"/>
          <w:sz w:val="23"/>
          <w:szCs w:val="23"/>
        </w:rPr>
        <w:t xml:space="preserve">The QBP project already established this pattern at a proto level: separate onboarding prompts (heavy context for first contact) vs. review prompts (focused context for specific tasks), persona foundation documentation, and a team structure defining who does what. BMA-BRIDGE formalizes and generalizes this into a reusable architecture.</w:t>
      </w:r>
    </w:p>
    <w:p>
      <w:pPr>
        <w:pStyle w:val="Heading2"/>
        <w:spacing w:before="360" w:after="180"/>
      </w:pPr>
      <w:r>
        <w:rPr>
          <w:rFonts w:ascii="Arial" w:cs="Arial" w:eastAsia="Arial" w:hAnsi="Arial"/>
          <w:b/>
          <w:bCs/>
          <w:color w:val="2E5984"/>
          <w:sz w:val="30"/>
          <w:szCs w:val="30"/>
        </w:rPr>
        <w:t xml:space="preserve">1.2 The Provider Spectrum</w:t>
      </w:r>
    </w:p>
    <w:p>
      <w:pPr>
        <w:spacing w:after="200" w:line="300"/>
      </w:pPr>
      <w:r>
        <w:rPr>
          <w:rFonts w:ascii="Georgia" w:cs="Georgia" w:eastAsia="Georgia" w:hAnsi="Georgia"/>
          <w:sz w:val="24"/>
          <w:szCs w:val="24"/>
        </w:rPr>
        <w:t xml:space="preserve">External models exist across a capability spectrum. BMA-BRIDGE must handle all of them through a single abstraction: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Level</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Memory</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Example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BMA Responsibility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0 — Stateless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None. Each call starts from zero.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Raw API call to any model endpoint. Local models via ollama.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Full context every call. BMA prepares everything.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 — Session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Within a session only. Lost on close.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Claude chat, Gemini chat, ChatGPT conversation.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Session continuity management. BMA tracks what’s been sent.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 — Limited Persistent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Model has its own memory, but shallow/lossy.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Claude with memory, Gemini with context caching.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Sync protocol. BMA models what the external model remembers and corrects drift.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 — Full Persistent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Another system with BMA-equivalent memory.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Another BMA instance (Run phase). Hypothetical future.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Federated protocol. Two persistent agents negotiate shared state.</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Crawl targets Level 0 and 1. Walk adds Level 2. Run adds Level 3. This follows earned complexity.</w:t>
      </w:r>
    </w:p>
    <w:p>
      <w:pPr>
        <w:pStyle w:val="Heading2"/>
        <w:spacing w:before="360" w:after="180"/>
      </w:pPr>
      <w:r>
        <w:rPr>
          <w:rFonts w:ascii="Arial" w:cs="Arial" w:eastAsia="Arial" w:hAnsi="Arial"/>
          <w:b/>
          <w:bCs/>
          <w:color w:val="2E5984"/>
          <w:sz w:val="30"/>
          <w:szCs w:val="30"/>
        </w:rPr>
        <w:t xml:space="preserve">1.3 Design Principles</w:t>
      </w:r>
    </w:p>
    <w:p>
      <w:pPr>
        <w:spacing w:after="200" w:line="300"/>
      </w:pPr>
      <w:r>
        <w:rPr>
          <w:rFonts w:ascii="Georgia" w:cs="Georgia" w:eastAsia="Georgia" w:hAnsi="Georgia"/>
          <w:b/>
          <w:bCs/>
          <w:sz w:val="24"/>
          <w:szCs w:val="24"/>
        </w:rPr>
        <w:t xml:space="preserve">Provider-agnostic from day one. </w:t>
      </w:r>
      <w:r>
        <w:rPr>
          <w:rFonts w:ascii="Georgia" w:cs="Georgia" w:eastAsia="Georgia" w:hAnsi="Georgia"/>
          <w:sz w:val="24"/>
          <w:szCs w:val="24"/>
        </w:rPr>
        <w:t xml:space="preserve">The core abstraction does not know about Anthropic, Google, OpenAI, or any specific API. Providers are plugins. Adding a new model is adding a new Provider implementation, not changing BMA-BRIDGE.</w:t>
      </w:r>
    </w:p>
    <w:p>
      <w:pPr>
        <w:spacing w:after="200" w:line="300"/>
      </w:pPr>
      <w:r>
        <w:rPr>
          <w:rFonts w:ascii="Georgia" w:cs="Georgia" w:eastAsia="Georgia" w:hAnsi="Georgia"/>
          <w:b/>
          <w:bCs/>
          <w:sz w:val="24"/>
          <w:szCs w:val="24"/>
        </w:rPr>
        <w:t xml:space="preserve">Context preparation is the hard problem. </w:t>
      </w:r>
      <w:r>
        <w:rPr>
          <w:rFonts w:ascii="Georgia" w:cs="Georgia" w:eastAsia="Georgia" w:hAnsi="Georgia"/>
          <w:sz w:val="24"/>
          <w:szCs w:val="24"/>
        </w:rPr>
        <w:t xml:space="preserve">API dispatch is mechanical (HTTP POST with JSON). The value of BMA-BRIDGE is in context preparation: selecting the right hypergraph content, packaging it for the target model’s capabilities and context window, framing the role and task, and doing all of this informed by the USM’s model of the collaborator.</w:t>
      </w:r>
    </w:p>
    <w:p>
      <w:pPr>
        <w:spacing w:after="200" w:line="300"/>
      </w:pPr>
      <w:r>
        <w:rPr>
          <w:rFonts w:ascii="Georgia" w:cs="Georgia" w:eastAsia="Georgia" w:hAnsi="Georgia"/>
          <w:b/>
          <w:bCs/>
          <w:sz w:val="24"/>
          <w:szCs w:val="24"/>
        </w:rPr>
        <w:t xml:space="preserve">Every exchange produces hypergraph content. </w:t>
      </w:r>
      <w:r>
        <w:rPr>
          <w:rFonts w:ascii="Georgia" w:cs="Georgia" w:eastAsia="Georgia" w:hAnsi="Georgia"/>
          <w:sz w:val="24"/>
          <w:szCs w:val="24"/>
        </w:rPr>
        <w:t xml:space="preserve">No call to an external model is fire-and-forget. Every response is integrated back into the hypergraph as typed nodes. The response itself, BMA’s assessment of the response, and the USM update from observing how the external model behaved.</w:t>
      </w:r>
    </w:p>
    <w:p>
      <w:pPr>
        <w:spacing w:after="200" w:line="300"/>
      </w:pPr>
      <w:r>
        <w:rPr>
          <w:rFonts w:ascii="Georgia" w:cs="Georgia" w:eastAsia="Georgia" w:hAnsi="Georgia"/>
          <w:b/>
          <w:bCs/>
          <w:sz w:val="24"/>
          <w:szCs w:val="24"/>
        </w:rPr>
        <w:t xml:space="preserve">The stress bus sees everything. </w:t>
      </w:r>
      <w:r>
        <w:rPr>
          <w:rFonts w:ascii="Georgia" w:cs="Georgia" w:eastAsia="Georgia" w:hAnsi="Georgia"/>
          <w:sz w:val="24"/>
          <w:szCs w:val="24"/>
        </w:rPr>
        <w:t xml:space="preserve">API latency, token costs, response quality, provider errors — all flow through BMA-STRESS. Over time, BMA-PRIORITY-TRAINER learns which providers are reliable for which tasks.</w:t>
      </w:r>
    </w:p>
    <w:p>
      <w:r>
        <w:br w:type="page"/>
      </w:r>
    </w:p>
    <w:p>
      <w:pPr>
        <w:pStyle w:val="Heading1"/>
        <w:spacing w:before="480" w:after="240"/>
      </w:pPr>
      <w:r>
        <w:rPr>
          <w:rFonts w:ascii="Arial" w:cs="Arial" w:eastAsia="Arial" w:hAnsi="Arial"/>
          <w:b/>
          <w:bCs/>
          <w:color w:val="1B3A5C"/>
          <w:sz w:val="36"/>
          <w:szCs w:val="36"/>
        </w:rPr>
        <w:t xml:space="preserve">2. Architecture</w:t>
      </w:r>
    </w:p>
    <w:p>
      <w:pPr>
        <w:pStyle w:val="Heading2"/>
        <w:spacing w:before="360" w:after="180"/>
      </w:pPr>
      <w:r>
        <w:rPr>
          <w:rFonts w:ascii="Arial" w:cs="Arial" w:eastAsia="Arial" w:hAnsi="Arial"/>
          <w:b/>
          <w:bCs/>
          <w:color w:val="2E5984"/>
          <w:sz w:val="30"/>
          <w:szCs w:val="30"/>
        </w:rPr>
        <w:t xml:space="preserve">2.1 Component Overview</w:t>
      </w:r>
    </w:p>
    <w:p>
      <w:pPr>
        <w:spacing w:after="200" w:line="300"/>
      </w:pPr>
      <w:r>
        <w:rPr>
          <w:rFonts w:ascii="Georgia" w:cs="Georgia" w:eastAsia="Georgia" w:hAnsi="Georgia"/>
          <w:sz w:val="24"/>
          <w:szCs w:val="24"/>
        </w:rPr>
        <w:t xml:space="preserve">BMA-BRIDGE has four internal components that execute sequentially for each exchange: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Responsibility</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Input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Output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ContextPreparer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Selects and packages hypergraph content for the target model. Applies USM to calibrate framing.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Task description, collaborator ID, provider capabilities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BridgeRequest (system prompt + messages + attachments)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Dispatcher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Sends the prepared request to the external model via the appropriate Provider.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BridgeRequest, Provider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BridgeResponse (raw model output + usage metadata)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Integrator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Parses the response and writes typed hypergraph nodes. Updates the collaboration record.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BridgeResponse, original task context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Hypergraph nodes (NT_BRIDGE_EXCHANGE, NT_BRIDGE_ASSESSMENT)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USMUpdater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Updates the USM/CSM collaborator model based on the exchange. Observes response patterns.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BridgeResponse, prior USM state for this collaborator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NT_CSM_OBSERVATION nodes for this AI collaborator</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2.2 The Provider Interface</w:t>
      </w:r>
    </w:p>
    <w:p>
      <w:pPr>
        <w:spacing w:after="200" w:line="300"/>
      </w:pPr>
      <w:r>
        <w:rPr>
          <w:rFonts w:ascii="Georgia" w:cs="Georgia" w:eastAsia="Georgia" w:hAnsi="Georgia"/>
          <w:sz w:val="24"/>
          <w:szCs w:val="24"/>
        </w:rPr>
        <w:t xml:space="preserve">This is the abstraction that makes BMA-BRIDGE provider-agnostic. Every external model is accessed through this interface. Concrete implementations handle the API-specific details (auth, request format, streaming protocol, error codes).</w:t>
      </w:r>
    </w:p>
    <w:p>
      <w:pPr>
        <w:spacing w:after="0" w:line="240"/>
        <w:ind w:left="360"/>
      </w:pPr>
      <w:r>
        <w:rPr>
          <w:rFonts w:ascii="Courier New" w:cs="Courier New" w:eastAsia="Courier New" w:hAnsi="Courier New"/>
          <w:color w:val="2D2D2D"/>
          <w:sz w:val="18"/>
          <w:szCs w:val="18"/>
        </w:rPr>
        <w:t xml:space="preserve">// Provider is the abstraction for any external model API.</w:t>
      </w:r>
    </w:p>
    <w:p>
      <w:pPr>
        <w:spacing w:after="0" w:line="240"/>
        <w:ind w:left="360"/>
      </w:pPr>
      <w:r>
        <w:rPr>
          <w:rFonts w:ascii="Courier New" w:cs="Courier New" w:eastAsia="Courier New" w:hAnsi="Courier New"/>
          <w:color w:val="2D2D2D"/>
          <w:sz w:val="18"/>
          <w:szCs w:val="18"/>
        </w:rPr>
        <w:t xml:space="preserve">type Provider interface {</w:t>
      </w:r>
    </w:p>
    <w:p>
      <w:pPr>
        <w:spacing w:after="0" w:line="240"/>
        <w:ind w:left="360"/>
      </w:pPr>
      <w:r>
        <w:rPr>
          <w:rFonts w:ascii="Courier New" w:cs="Courier New" w:eastAsia="Courier New" w:hAnsi="Courier New"/>
          <w:color w:val="2D2D2D"/>
          <w:sz w:val="18"/>
          <w:szCs w:val="18"/>
        </w:rPr>
        <w:t xml:space="preserve">    // ID returns the unique provider identifier.</w:t>
      </w:r>
    </w:p>
    <w:p>
      <w:pPr>
        <w:spacing w:after="0" w:line="240"/>
        <w:ind w:left="360"/>
      </w:pPr>
      <w:r>
        <w:rPr>
          <w:rFonts w:ascii="Courier New" w:cs="Courier New" w:eastAsia="Courier New" w:hAnsi="Courier New"/>
          <w:color w:val="2D2D2D"/>
          <w:sz w:val="18"/>
          <w:szCs w:val="18"/>
        </w:rPr>
        <w:t xml:space="preserve">    ID() ProviderID</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Caps reports what this provider supports.</w:t>
      </w:r>
    </w:p>
    <w:p>
      <w:pPr>
        <w:spacing w:after="0" w:line="240"/>
        <w:ind w:left="360"/>
      </w:pPr>
      <w:r>
        <w:rPr>
          <w:rFonts w:ascii="Courier New" w:cs="Courier New" w:eastAsia="Courier New" w:hAnsi="Courier New"/>
          <w:color w:val="2D2D2D"/>
          <w:sz w:val="18"/>
          <w:szCs w:val="18"/>
        </w:rPr>
        <w:t xml:space="preserve">    Caps() ProviderCaps</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Send dispatches a request and blocks until complete.</w:t>
      </w:r>
    </w:p>
    <w:p>
      <w:pPr>
        <w:spacing w:after="0" w:line="240"/>
        <w:ind w:left="360"/>
      </w:pPr>
      <w:r>
        <w:rPr>
          <w:rFonts w:ascii="Courier New" w:cs="Courier New" w:eastAsia="Courier New" w:hAnsi="Courier New"/>
          <w:color w:val="2D2D2D"/>
          <w:sz w:val="18"/>
          <w:szCs w:val="18"/>
        </w:rPr>
        <w:t xml:space="preserve">    Send(ctx context.Context, req *BridgeRequest) (*BridgeResponse, error)</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Stream dispatches and returns incremental chunks.</w:t>
      </w:r>
    </w:p>
    <w:p>
      <w:pPr>
        <w:spacing w:after="0" w:line="240"/>
        <w:ind w:left="360"/>
      </w:pPr>
      <w:r>
        <w:rPr>
          <w:rFonts w:ascii="Courier New" w:cs="Courier New" w:eastAsia="Courier New" w:hAnsi="Courier New"/>
          <w:color w:val="2D2D2D"/>
          <w:sz w:val="18"/>
          <w:szCs w:val="18"/>
        </w:rPr>
        <w:t xml:space="preserve">    // Providers that don’t support streaming return ErrNoStream.</w:t>
      </w:r>
    </w:p>
    <w:p>
      <w:pPr>
        <w:spacing w:after="0" w:line="240"/>
        <w:ind w:left="360"/>
      </w:pPr>
      <w:r>
        <w:rPr>
          <w:rFonts w:ascii="Courier New" w:cs="Courier New" w:eastAsia="Courier New" w:hAnsi="Courier New"/>
          <w:color w:val="2D2D2D"/>
          <w:sz w:val="18"/>
          <w:szCs w:val="18"/>
        </w:rPr>
        <w:t xml:space="preserve">    Stream(ctx context.Context, req *BridgeRequest) (&lt;-chan Chunk, error)</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spacing w:after="0" w:line="240"/>
        <w:ind w:left="360"/>
      </w:pPr>
      <w:r>
        <w:rPr>
          <w:rFonts w:ascii="Courier New" w:cs="Courier New" w:eastAsia="Courier New" w:hAnsi="Courier New"/>
          <w:color w:val="2D2D2D"/>
          <w:sz w:val="18"/>
          <w:szCs w:val="18"/>
        </w:rPr>
        <w:t xml:space="preserve">type ProviderID string</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type ProviderCaps struct {</w:t>
      </w:r>
    </w:p>
    <w:p>
      <w:pPr>
        <w:spacing w:after="0" w:line="240"/>
        <w:ind w:left="360"/>
      </w:pPr>
      <w:r>
        <w:rPr>
          <w:rFonts w:ascii="Courier New" w:cs="Courier New" w:eastAsia="Courier New" w:hAnsi="Courier New"/>
          <w:color w:val="2D2D2D"/>
          <w:sz w:val="18"/>
          <w:szCs w:val="18"/>
        </w:rPr>
        <w:t xml:space="preserve">    MemoryLevel      int    // 0–3 per the spectrum above</w:t>
      </w:r>
    </w:p>
    <w:p>
      <w:pPr>
        <w:spacing w:after="0" w:line="240"/>
        <w:ind w:left="360"/>
      </w:pPr>
      <w:r>
        <w:rPr>
          <w:rFonts w:ascii="Courier New" w:cs="Courier New" w:eastAsia="Courier New" w:hAnsi="Courier New"/>
          <w:color w:val="2D2D2D"/>
          <w:sz w:val="18"/>
          <w:szCs w:val="18"/>
        </w:rPr>
        <w:t xml:space="preserve">    MaxContextTokens int    // context window size</w:t>
      </w:r>
    </w:p>
    <w:p>
      <w:pPr>
        <w:spacing w:after="0" w:line="240"/>
        <w:ind w:left="360"/>
      </w:pPr>
      <w:r>
        <w:rPr>
          <w:rFonts w:ascii="Courier New" w:cs="Courier New" w:eastAsia="Courier New" w:hAnsi="Courier New"/>
          <w:color w:val="2D2D2D"/>
          <w:sz w:val="18"/>
          <w:szCs w:val="18"/>
        </w:rPr>
        <w:t xml:space="preserve">    SupportsStreaming bool</w:t>
      </w:r>
    </w:p>
    <w:p>
      <w:pPr>
        <w:spacing w:after="0" w:line="240"/>
        <w:ind w:left="360"/>
      </w:pPr>
      <w:r>
        <w:rPr>
          <w:rFonts w:ascii="Courier New" w:cs="Courier New" w:eastAsia="Courier New" w:hAnsi="Courier New"/>
          <w:color w:val="2D2D2D"/>
          <w:sz w:val="18"/>
          <w:szCs w:val="18"/>
        </w:rPr>
        <w:t xml:space="preserve">    SupportsSystem   bool   // accepts system prompts</w:t>
      </w:r>
    </w:p>
    <w:p>
      <w:pPr>
        <w:spacing w:after="0" w:line="240"/>
        <w:ind w:left="360"/>
      </w:pPr>
      <w:r>
        <w:rPr>
          <w:rFonts w:ascii="Courier New" w:cs="Courier New" w:eastAsia="Courier New" w:hAnsi="Courier New"/>
          <w:color w:val="2D2D2D"/>
          <w:sz w:val="18"/>
          <w:szCs w:val="18"/>
        </w:rPr>
        <w:t xml:space="preserve">    SupportsTools    bool   // function/tool calling</w:t>
      </w:r>
    </w:p>
    <w:p>
      <w:pPr>
        <w:spacing w:after="0" w:line="240"/>
        <w:ind w:left="360"/>
      </w:pPr>
      <w:r>
        <w:rPr>
          <w:rFonts w:ascii="Courier New" w:cs="Courier New" w:eastAsia="Courier New" w:hAnsi="Courier New"/>
          <w:color w:val="2D2D2D"/>
          <w:sz w:val="18"/>
          <w:szCs w:val="18"/>
        </w:rPr>
        <w:t xml:space="preserve">    SupportsPDF      bool</w:t>
      </w:r>
    </w:p>
    <w:p>
      <w:pPr>
        <w:spacing w:after="0" w:line="240"/>
        <w:ind w:left="360"/>
      </w:pPr>
      <w:r>
        <w:rPr>
          <w:rFonts w:ascii="Courier New" w:cs="Courier New" w:eastAsia="Courier New" w:hAnsi="Courier New"/>
          <w:color w:val="2D2D2D"/>
          <w:sz w:val="18"/>
          <w:szCs w:val="18"/>
        </w:rPr>
        <w:t xml:space="preserve">    SupportsImages   bool</w:t>
      </w:r>
    </w:p>
    <w:p>
      <w:pPr>
        <w:spacing w:after="0" w:line="240"/>
        <w:ind w:left="360"/>
      </w:pPr>
      <w:r>
        <w:rPr>
          <w:rFonts w:ascii="Courier New" w:cs="Courier New" w:eastAsia="Courier New" w:hAnsi="Courier New"/>
          <w:color w:val="2D2D2D"/>
          <w:sz w:val="18"/>
          <w:szCs w:val="18"/>
        </w:rPr>
        <w:t xml:space="preserve">    ModelID          string // e.g. "claude-sonnet-4-6"</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pStyle w:val="Heading3"/>
        <w:spacing w:before="280" w:after="140"/>
      </w:pPr>
      <w:r>
        <w:rPr>
          <w:rFonts w:ascii="Arial" w:cs="Arial" w:eastAsia="Arial" w:hAnsi="Arial"/>
          <w:b/>
          <w:bCs/>
          <w:color w:val="3D6E99"/>
          <w:sz w:val="26"/>
          <w:szCs w:val="26"/>
        </w:rPr>
        <w:t xml:space="preserve">Initial Provider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Provider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API</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Auth</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anthropic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Anthropic Messages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API key (ANTHROPIC_API_KEY)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Claude models. System prompt via system field. Tool use supported.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gemini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Google Generative AI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API key (GEMINI_API_KEY)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Gemini models. System instruction field. Context caching for Level 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openai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OpenAI-compatible chat/completions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API key (configurable)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Covers OpenAI, Groq, Together, any compatible endpoint. Base URL configurable.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Ollama or llama.cpp HTTP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None (local)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Local models. Always Level 0. Useful for development and cost-free iteration.</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2.3 The BridgeRequest</w:t>
      </w:r>
    </w:p>
    <w:p>
      <w:pPr>
        <w:spacing w:after="200" w:line="300"/>
      </w:pPr>
      <w:r>
        <w:rPr>
          <w:rFonts w:ascii="Georgia" w:cs="Georgia" w:eastAsia="Georgia" w:hAnsi="Georgia"/>
          <w:sz w:val="24"/>
          <w:szCs w:val="24"/>
        </w:rPr>
        <w:t xml:space="preserve">This is what the ContextPreparer produces and the Dispatcher sends. It is provider-agnostic — the Provider implementation translates it into the specific API format.</w:t>
      </w:r>
    </w:p>
    <w:p>
      <w:pPr>
        <w:spacing w:after="0" w:line="240"/>
        <w:ind w:left="360"/>
      </w:pPr>
      <w:r>
        <w:rPr>
          <w:rFonts w:ascii="Courier New" w:cs="Courier New" w:eastAsia="Courier New" w:hAnsi="Courier New"/>
          <w:color w:val="2D2D2D"/>
          <w:sz w:val="18"/>
          <w:szCs w:val="18"/>
        </w:rPr>
        <w:t xml:space="preserve">type BridgeRequest struct {</w:t>
      </w:r>
    </w:p>
    <w:p>
      <w:pPr>
        <w:spacing w:after="0" w:line="240"/>
        <w:ind w:left="360"/>
      </w:pPr>
      <w:r>
        <w:rPr>
          <w:rFonts w:ascii="Courier New" w:cs="Courier New" w:eastAsia="Courier New" w:hAnsi="Courier New"/>
          <w:color w:val="2D2D2D"/>
          <w:sz w:val="18"/>
          <w:szCs w:val="18"/>
        </w:rPr>
        <w:t xml:space="preserve">    // Who we’re talking to. Maps to a USM/CSM model region.</w:t>
      </w:r>
    </w:p>
    <w:p>
      <w:pPr>
        <w:spacing w:after="0" w:line="240"/>
        <w:ind w:left="360"/>
      </w:pPr>
      <w:r>
        <w:rPr>
          <w:rFonts w:ascii="Courier New" w:cs="Courier New" w:eastAsia="Courier New" w:hAnsi="Courier New"/>
          <w:color w:val="2D2D2D"/>
          <w:sz w:val="18"/>
          <w:szCs w:val="18"/>
        </w:rPr>
        <w:t xml:space="preserve">    CollaboratorID CollaboratorID</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The collaborator’s role in this exchange.</w:t>
      </w:r>
    </w:p>
    <w:p>
      <w:pPr>
        <w:spacing w:after="0" w:line="240"/>
        <w:ind w:left="360"/>
      </w:pPr>
      <w:r>
        <w:rPr>
          <w:rFonts w:ascii="Courier New" w:cs="Courier New" w:eastAsia="Courier New" w:hAnsi="Courier New"/>
          <w:color w:val="2D2D2D"/>
          <w:sz w:val="18"/>
          <w:szCs w:val="18"/>
        </w:rPr>
        <w:t xml:space="preserve">    // Loaded from the Persona Registry (see §3).</w:t>
      </w:r>
    </w:p>
    <w:p>
      <w:pPr>
        <w:spacing w:after="0" w:line="240"/>
        <w:ind w:left="360"/>
      </w:pPr>
      <w:r>
        <w:rPr>
          <w:rFonts w:ascii="Courier New" w:cs="Courier New" w:eastAsia="Courier New" w:hAnsi="Courier New"/>
          <w:color w:val="2D2D2D"/>
          <w:sz w:val="18"/>
          <w:szCs w:val="18"/>
        </w:rPr>
        <w:t xml:space="preserve">    Role           *Persona</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System-level context. Built by ContextPreparer from:</w:t>
      </w:r>
    </w:p>
    <w:p>
      <w:pPr>
        <w:spacing w:after="0" w:line="240"/>
        <w:ind w:left="360"/>
      </w:pPr>
      <w:r>
        <w:rPr>
          <w:rFonts w:ascii="Courier New" w:cs="Courier New" w:eastAsia="Courier New" w:hAnsi="Courier New"/>
          <w:color w:val="2D2D2D"/>
          <w:sz w:val="18"/>
          <w:szCs w:val="18"/>
        </w:rPr>
        <w:t xml:space="preserve">    // - Persona system prompt</w:t>
      </w:r>
    </w:p>
    <w:p>
      <w:pPr>
        <w:spacing w:after="0" w:line="240"/>
        <w:ind w:left="360"/>
      </w:pPr>
      <w:r>
        <w:rPr>
          <w:rFonts w:ascii="Courier New" w:cs="Courier New" w:eastAsia="Courier New" w:hAnsi="Courier New"/>
          <w:color w:val="2D2D2D"/>
          <w:sz w:val="18"/>
          <w:szCs w:val="18"/>
        </w:rPr>
        <w:t xml:space="preserve">    // - Relevant hypergraph content</w:t>
      </w:r>
    </w:p>
    <w:p>
      <w:pPr>
        <w:spacing w:after="0" w:line="240"/>
        <w:ind w:left="360"/>
      </w:pPr>
      <w:r>
        <w:rPr>
          <w:rFonts w:ascii="Courier New" w:cs="Courier New" w:eastAsia="Courier New" w:hAnsi="Courier New"/>
          <w:color w:val="2D2D2D"/>
          <w:sz w:val="18"/>
          <w:szCs w:val="18"/>
        </w:rPr>
        <w:t xml:space="preserve">    // - Current task framing</w:t>
      </w:r>
    </w:p>
    <w:p>
      <w:pPr>
        <w:spacing w:after="0" w:line="240"/>
        <w:ind w:left="360"/>
      </w:pPr>
      <w:r>
        <w:rPr>
          <w:rFonts w:ascii="Courier New" w:cs="Courier New" w:eastAsia="Courier New" w:hAnsi="Courier New"/>
          <w:color w:val="2D2D2D"/>
          <w:sz w:val="18"/>
          <w:szCs w:val="18"/>
        </w:rPr>
        <w:t xml:space="preserve">    // - USM-informed calibration notes</w:t>
      </w:r>
    </w:p>
    <w:p>
      <w:pPr>
        <w:spacing w:after="0" w:line="240"/>
        <w:ind w:left="360"/>
      </w:pPr>
      <w:r>
        <w:rPr>
          <w:rFonts w:ascii="Courier New" w:cs="Courier New" w:eastAsia="Courier New" w:hAnsi="Courier New"/>
          <w:color w:val="2D2D2D"/>
          <w:sz w:val="18"/>
          <w:szCs w:val="18"/>
        </w:rPr>
        <w:t xml:space="preserve">    SystemPrompt   string</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Conversation messages for this exchange.</w:t>
      </w:r>
    </w:p>
    <w:p>
      <w:pPr>
        <w:spacing w:after="0" w:line="240"/>
        <w:ind w:left="360"/>
      </w:pPr>
      <w:r>
        <w:rPr>
          <w:rFonts w:ascii="Courier New" w:cs="Courier New" w:eastAsia="Courier New" w:hAnsi="Courier New"/>
          <w:color w:val="2D2D2D"/>
          <w:sz w:val="18"/>
          <w:szCs w:val="18"/>
        </w:rPr>
        <w:t xml:space="preserve">    Messages       []Message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Attached documents (PDF, images, code files).</w:t>
      </w:r>
    </w:p>
    <w:p>
      <w:pPr>
        <w:spacing w:after="0" w:line="240"/>
        <w:ind w:left="360"/>
      </w:pPr>
      <w:r>
        <w:rPr>
          <w:rFonts w:ascii="Courier New" w:cs="Courier New" w:eastAsia="Courier New" w:hAnsi="Courier New"/>
          <w:color w:val="2D2D2D"/>
          <w:sz w:val="18"/>
          <w:szCs w:val="18"/>
        </w:rPr>
        <w:t xml:space="preserve">    Attachments    []Attachment</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Generation parameters.</w:t>
      </w:r>
    </w:p>
    <w:p>
      <w:pPr>
        <w:spacing w:after="0" w:line="240"/>
        <w:ind w:left="360"/>
      </w:pPr>
      <w:r>
        <w:rPr>
          <w:rFonts w:ascii="Courier New" w:cs="Courier New" w:eastAsia="Courier New" w:hAnsi="Courier New"/>
          <w:color w:val="2D2D2D"/>
          <w:sz w:val="18"/>
          <w:szCs w:val="18"/>
        </w:rPr>
        <w:t xml:space="preserve">    MaxTokens      int</w:t>
      </w:r>
    </w:p>
    <w:p>
      <w:pPr>
        <w:spacing w:after="0" w:line="240"/>
        <w:ind w:left="360"/>
      </w:pPr>
      <w:r>
        <w:rPr>
          <w:rFonts w:ascii="Courier New" w:cs="Courier New" w:eastAsia="Courier New" w:hAnsi="Courier New"/>
          <w:color w:val="2D2D2D"/>
          <w:sz w:val="18"/>
          <w:szCs w:val="18"/>
        </w:rPr>
        <w:t xml:space="preserve">    Temperature    float64</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Observability.</w:t>
      </w:r>
    </w:p>
    <w:p>
      <w:pPr>
        <w:spacing w:after="0" w:line="240"/>
        <w:ind w:left="360"/>
      </w:pPr>
      <w:r>
        <w:rPr>
          <w:rFonts w:ascii="Courier New" w:cs="Courier New" w:eastAsia="Courier New" w:hAnsi="Courier New"/>
          <w:color w:val="2D2D2D"/>
          <w:sz w:val="18"/>
          <w:szCs w:val="18"/>
        </w:rPr>
        <w:t xml:space="preserve">    RequestID      string</w:t>
      </w:r>
    </w:p>
    <w:p>
      <w:pPr>
        <w:spacing w:after="0" w:line="240"/>
        <w:ind w:left="360"/>
      </w:pPr>
      <w:r>
        <w:rPr>
          <w:rFonts w:ascii="Courier New" w:cs="Courier New" w:eastAsia="Courier New" w:hAnsi="Courier New"/>
          <w:color w:val="2D2D2D"/>
          <w:sz w:val="18"/>
          <w:szCs w:val="18"/>
        </w:rPr>
        <w:t xml:space="preserve">    Timestamp      time.Time</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2.4 The BridgeResponse</w:t>
      </w:r>
    </w:p>
    <w:p>
      <w:pPr>
        <w:spacing w:after="0" w:line="240"/>
        <w:ind w:left="360"/>
      </w:pPr>
      <w:r>
        <w:rPr>
          <w:rFonts w:ascii="Courier New" w:cs="Courier New" w:eastAsia="Courier New" w:hAnsi="Courier New"/>
          <w:color w:val="2D2D2D"/>
          <w:sz w:val="18"/>
          <w:szCs w:val="18"/>
        </w:rPr>
        <w:t xml:space="preserve">type BridgeResponse struct {</w:t>
      </w:r>
    </w:p>
    <w:p>
      <w:pPr>
        <w:spacing w:after="0" w:line="240"/>
        <w:ind w:left="360"/>
      </w:pPr>
      <w:r>
        <w:rPr>
          <w:rFonts w:ascii="Courier New" w:cs="Courier New" w:eastAsia="Courier New" w:hAnsi="Courier New"/>
          <w:color w:val="2D2D2D"/>
          <w:sz w:val="18"/>
          <w:szCs w:val="18"/>
        </w:rPr>
        <w:t xml:space="preserve">    // The model’s response content.</w:t>
      </w:r>
    </w:p>
    <w:p>
      <w:pPr>
        <w:spacing w:after="0" w:line="240"/>
        <w:ind w:left="360"/>
      </w:pPr>
      <w:r>
        <w:rPr>
          <w:rFonts w:ascii="Courier New" w:cs="Courier New" w:eastAsia="Courier New" w:hAnsi="Courier New"/>
          <w:color w:val="2D2D2D"/>
          <w:sz w:val="18"/>
          <w:szCs w:val="18"/>
        </w:rPr>
        <w:t xml:space="preserve">    Content        string</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Tool calls if the model invoked any.</w:t>
      </w:r>
    </w:p>
    <w:p>
      <w:pPr>
        <w:spacing w:after="0" w:line="240"/>
        <w:ind w:left="360"/>
      </w:pPr>
      <w:r>
        <w:rPr>
          <w:rFonts w:ascii="Courier New" w:cs="Courier New" w:eastAsia="Courier New" w:hAnsi="Courier New"/>
          <w:color w:val="2D2D2D"/>
          <w:sz w:val="18"/>
          <w:szCs w:val="18"/>
        </w:rPr>
        <w:t xml:space="preserve">    ToolCalls      []ToolCall</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Token usage for cost tracking and context management.</w:t>
      </w:r>
    </w:p>
    <w:p>
      <w:pPr>
        <w:spacing w:after="0" w:line="240"/>
        <w:ind w:left="360"/>
      </w:pPr>
      <w:r>
        <w:rPr>
          <w:rFonts w:ascii="Courier New" w:cs="Courier New" w:eastAsia="Courier New" w:hAnsi="Courier New"/>
          <w:color w:val="2D2D2D"/>
          <w:sz w:val="18"/>
          <w:szCs w:val="18"/>
        </w:rPr>
        <w:t xml:space="preserve">    InputTokens    int</w:t>
      </w:r>
    </w:p>
    <w:p>
      <w:pPr>
        <w:spacing w:after="0" w:line="240"/>
        <w:ind w:left="360"/>
      </w:pPr>
      <w:r>
        <w:rPr>
          <w:rFonts w:ascii="Courier New" w:cs="Courier New" w:eastAsia="Courier New" w:hAnsi="Courier New"/>
          <w:color w:val="2D2D2D"/>
          <w:sz w:val="18"/>
          <w:szCs w:val="18"/>
        </w:rPr>
        <w:t xml:space="preserve">    OutputTokens   int</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Provider-reported model ID (may differ from requested).</w:t>
      </w:r>
    </w:p>
    <w:p>
      <w:pPr>
        <w:spacing w:after="0" w:line="240"/>
        <w:ind w:left="360"/>
      </w:pPr>
      <w:r>
        <w:rPr>
          <w:rFonts w:ascii="Courier New" w:cs="Courier New" w:eastAsia="Courier New" w:hAnsi="Courier New"/>
          <w:color w:val="2D2D2D"/>
          <w:sz w:val="18"/>
          <w:szCs w:val="18"/>
        </w:rPr>
        <w:t xml:space="preserve">    ActualModelID  string</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Timing for stress bus integration.</w:t>
      </w:r>
    </w:p>
    <w:p>
      <w:pPr>
        <w:spacing w:after="0" w:line="240"/>
        <w:ind w:left="360"/>
      </w:pPr>
      <w:r>
        <w:rPr>
          <w:rFonts w:ascii="Courier New" w:cs="Courier New" w:eastAsia="Courier New" w:hAnsi="Courier New"/>
          <w:color w:val="2D2D2D"/>
          <w:sz w:val="18"/>
          <w:szCs w:val="18"/>
        </w:rPr>
        <w:t xml:space="preserve">    Latency        time.Duration</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Provider-specific metadata (stop reason, safety, etc).</w:t>
      </w:r>
    </w:p>
    <w:p>
      <w:pPr>
        <w:spacing w:after="0" w:line="240"/>
        <w:ind w:left="360"/>
      </w:pPr>
      <w:r>
        <w:rPr>
          <w:rFonts w:ascii="Courier New" w:cs="Courier New" w:eastAsia="Courier New" w:hAnsi="Courier New"/>
          <w:color w:val="2D2D2D"/>
          <w:sz w:val="18"/>
          <w:szCs w:val="18"/>
        </w:rPr>
        <w:t xml:space="preserve">    Meta           map[string]any</w:t>
      </w:r>
    </w:p>
    <w:p>
      <w:pPr>
        <w:spacing w:after="0" w:line="240"/>
        <w:ind w:left="360"/>
      </w:pPr>
      <w:r>
        <w:rPr>
          <w:rFonts w:ascii="Courier New" w:cs="Courier New" w:eastAsia="Courier New" w:hAnsi="Courier New"/>
          <w:color w:val="2D2D2D"/>
          <w:sz w:val="18"/>
          <w:szCs w:val="18"/>
        </w:rPr>
        <w:t xml:space="preserve">}</w:t>
      </w:r>
    </w:p>
    <w:p>
      <w:r>
        <w:br w:type="page"/>
      </w:r>
    </w:p>
    <w:p>
      <w:pPr>
        <w:pStyle w:val="Heading1"/>
        <w:spacing w:before="480" w:after="240"/>
      </w:pPr>
      <w:r>
        <w:rPr>
          <w:rFonts w:ascii="Arial" w:cs="Arial" w:eastAsia="Arial" w:hAnsi="Arial"/>
          <w:b/>
          <w:bCs/>
          <w:color w:val="1B3A5C"/>
          <w:sz w:val="36"/>
          <w:szCs w:val="36"/>
        </w:rPr>
        <w:t xml:space="preserve">3. The Persona Registry</w:t>
      </w:r>
    </w:p>
    <w:p>
      <w:pPr>
        <w:spacing w:after="200" w:line="300"/>
      </w:pPr>
      <w:r>
        <w:rPr>
          <w:rFonts w:ascii="Georgia" w:cs="Georgia" w:eastAsia="Georgia" w:hAnsi="Georgia"/>
          <w:sz w:val="24"/>
          <w:szCs w:val="24"/>
        </w:rPr>
        <w:t xml:space="preserve">The QBP project established that different AI collaborators operate in different personas with different roles: Gemini as Furey (algebraist) and Feynman (physicist), Claude as Red Team. BMA-BRIDGE generalizes this into a Persona Registry: a data structure that defines who each collaborator is, what their role is, how to address them, and what context they need.</w:t>
      </w:r>
    </w:p>
    <w:p>
      <w:pPr>
        <w:pBdr>
          <w:left w:val="single" w:color="2E5984" w:sz="12" w:space="8"/>
        </w:pBdr>
        <w:spacing w:before="200" w:after="200" w:line="300"/>
        <w:ind w:left="360" w:right="360"/>
      </w:pPr>
      <w:r>
        <w:rPr>
          <w:rFonts w:ascii="Georgia" w:cs="Georgia" w:eastAsia="Georgia" w:hAnsi="Georgia"/>
          <w:i/>
          <w:iCs/>
          <w:color w:val="333333"/>
          <w:sz w:val="23"/>
          <w:szCs w:val="23"/>
        </w:rPr>
        <w:t xml:space="preserve">Personas are data, not code. Adding a new collaborator persona is writing a configuration entry and a system prompt template, not implementing a new Go type. This follows the War Table pattern where agents are defined via doctrine markdown files and TOML sidecars.</w:t>
      </w:r>
    </w:p>
    <w:p>
      <w:pPr>
        <w:pStyle w:val="Heading2"/>
        <w:spacing w:before="360" w:after="180"/>
      </w:pPr>
      <w:r>
        <w:rPr>
          <w:rFonts w:ascii="Arial" w:cs="Arial" w:eastAsia="Arial" w:hAnsi="Arial"/>
          <w:b/>
          <w:bCs/>
          <w:color w:val="2E5984"/>
          <w:sz w:val="30"/>
          <w:szCs w:val="30"/>
        </w:rPr>
        <w:t xml:space="preserve">3.1 The Persona Type</w:t>
      </w:r>
    </w:p>
    <w:p>
      <w:pPr>
        <w:spacing w:after="0" w:line="240"/>
        <w:ind w:left="360"/>
      </w:pPr>
      <w:r>
        <w:rPr>
          <w:rFonts w:ascii="Courier New" w:cs="Courier New" w:eastAsia="Courier New" w:hAnsi="Courier New"/>
          <w:color w:val="2D2D2D"/>
          <w:sz w:val="18"/>
          <w:szCs w:val="18"/>
        </w:rPr>
        <w:t xml:space="preserve">type Persona struct {</w:t>
      </w:r>
    </w:p>
    <w:p>
      <w:pPr>
        <w:spacing w:after="0" w:line="240"/>
        <w:ind w:left="360"/>
      </w:pPr>
      <w:r>
        <w:rPr>
          <w:rFonts w:ascii="Courier New" w:cs="Courier New" w:eastAsia="Courier New" w:hAnsi="Courier New"/>
          <w:color w:val="2D2D2D"/>
          <w:sz w:val="18"/>
          <w:szCs w:val="18"/>
        </w:rPr>
        <w:t xml:space="preserve">    // Unique identifier. e.g. "gemini-furey", "claude-redteam"</w:t>
      </w:r>
    </w:p>
    <w:p>
      <w:pPr>
        <w:spacing w:after="0" w:line="240"/>
        <w:ind w:left="360"/>
      </w:pPr>
      <w:r>
        <w:rPr>
          <w:rFonts w:ascii="Courier New" w:cs="Courier New" w:eastAsia="Courier New" w:hAnsi="Courier New"/>
          <w:color w:val="2D2D2D"/>
          <w:sz w:val="18"/>
          <w:szCs w:val="18"/>
        </w:rPr>
        <w:t xml:space="preserve">    ID              PersonaID</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Human-readable name.</w:t>
      </w:r>
    </w:p>
    <w:p>
      <w:pPr>
        <w:spacing w:after="0" w:line="240"/>
        <w:ind w:left="360"/>
      </w:pPr>
      <w:r>
        <w:rPr>
          <w:rFonts w:ascii="Courier New" w:cs="Courier New" w:eastAsia="Courier New" w:hAnsi="Courier New"/>
          <w:color w:val="2D2D2D"/>
          <w:sz w:val="18"/>
          <w:szCs w:val="18"/>
        </w:rPr>
        <w:t xml:space="preserve">    Name            string</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Which provider this persona uses.</w:t>
      </w:r>
    </w:p>
    <w:p>
      <w:pPr>
        <w:spacing w:after="0" w:line="240"/>
        <w:ind w:left="360"/>
      </w:pPr>
      <w:r>
        <w:rPr>
          <w:rFonts w:ascii="Courier New" w:cs="Courier New" w:eastAsia="Courier New" w:hAnsi="Courier New"/>
          <w:color w:val="2D2D2D"/>
          <w:sz w:val="18"/>
          <w:szCs w:val="18"/>
        </w:rPr>
        <w:t xml:space="preserve">    ProviderID      ProviderID</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The specific model to use. Empty = provider default.</w:t>
      </w:r>
    </w:p>
    <w:p>
      <w:pPr>
        <w:spacing w:after="0" w:line="240"/>
        <w:ind w:left="360"/>
      </w:pPr>
      <w:r>
        <w:rPr>
          <w:rFonts w:ascii="Courier New" w:cs="Courier New" w:eastAsia="Courier New" w:hAnsi="Courier New"/>
          <w:color w:val="2D2D2D"/>
          <w:sz w:val="18"/>
          <w:szCs w:val="18"/>
        </w:rPr>
        <w:t xml:space="preserve">    ModelOverride   string</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The system prompt template. Supports Go text/template</w:t>
      </w:r>
    </w:p>
    <w:p>
      <w:pPr>
        <w:spacing w:after="0" w:line="240"/>
        <w:ind w:left="360"/>
      </w:pPr>
      <w:r>
        <w:rPr>
          <w:rFonts w:ascii="Courier New" w:cs="Courier New" w:eastAsia="Courier New" w:hAnsi="Courier New"/>
          <w:color w:val="2D2D2D"/>
          <w:sz w:val="18"/>
          <w:szCs w:val="18"/>
        </w:rPr>
        <w:t xml:space="preserve">    // variables for dynamic content injection.</w:t>
      </w:r>
    </w:p>
    <w:p>
      <w:pPr>
        <w:spacing w:after="0" w:line="240"/>
        <w:ind w:left="360"/>
      </w:pPr>
      <w:r>
        <w:rPr>
          <w:rFonts w:ascii="Courier New" w:cs="Courier New" w:eastAsia="Courier New" w:hAnsi="Courier New"/>
          <w:color w:val="2D2D2D"/>
          <w:sz w:val="18"/>
          <w:szCs w:val="18"/>
        </w:rPr>
        <w:t xml:space="preserve">    SystemTemplate  string</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Default generation parameters.</w:t>
      </w:r>
    </w:p>
    <w:p>
      <w:pPr>
        <w:spacing w:after="0" w:line="240"/>
        <w:ind w:left="360"/>
      </w:pPr>
      <w:r>
        <w:rPr>
          <w:rFonts w:ascii="Courier New" w:cs="Courier New" w:eastAsia="Courier New" w:hAnsi="Courier New"/>
          <w:color w:val="2D2D2D"/>
          <w:sz w:val="18"/>
          <w:szCs w:val="18"/>
        </w:rPr>
        <w:t xml:space="preserve">    DefaultTemp     float64</w:t>
      </w:r>
    </w:p>
    <w:p>
      <w:pPr>
        <w:spacing w:after="0" w:line="240"/>
        <w:ind w:left="360"/>
      </w:pPr>
      <w:r>
        <w:rPr>
          <w:rFonts w:ascii="Courier New" w:cs="Courier New" w:eastAsia="Courier New" w:hAnsi="Courier New"/>
          <w:color w:val="2D2D2D"/>
          <w:sz w:val="18"/>
          <w:szCs w:val="18"/>
        </w:rPr>
        <w:t xml:space="preserve">    DefaultMaxTok   int</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What context this persona typically needs.</w:t>
      </w:r>
    </w:p>
    <w:p>
      <w:pPr>
        <w:spacing w:after="0" w:line="240"/>
        <w:ind w:left="360"/>
      </w:pPr>
      <w:r>
        <w:rPr>
          <w:rFonts w:ascii="Courier New" w:cs="Courier New" w:eastAsia="Courier New" w:hAnsi="Courier New"/>
          <w:color w:val="2D2D2D"/>
          <w:sz w:val="18"/>
          <w:szCs w:val="18"/>
        </w:rPr>
        <w:t xml:space="preserve">    // Controls what the ContextPreparer selects from the HG.</w:t>
      </w:r>
    </w:p>
    <w:p>
      <w:pPr>
        <w:spacing w:after="0" w:line="240"/>
        <w:ind w:left="360"/>
      </w:pPr>
      <w:r>
        <w:rPr>
          <w:rFonts w:ascii="Courier New" w:cs="Courier New" w:eastAsia="Courier New" w:hAnsi="Courier New"/>
          <w:color w:val="2D2D2D"/>
          <w:sz w:val="18"/>
          <w:szCs w:val="18"/>
        </w:rPr>
        <w:t xml:space="preserve">    ContextProfile  ContextProfile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Role description for the USM/CSM model.</w:t>
      </w:r>
    </w:p>
    <w:p>
      <w:pPr>
        <w:spacing w:after="0" w:line="240"/>
        <w:ind w:left="360"/>
      </w:pPr>
      <w:r>
        <w:rPr>
          <w:rFonts w:ascii="Courier New" w:cs="Courier New" w:eastAsia="Courier New" w:hAnsi="Courier New"/>
          <w:color w:val="2D2D2D"/>
          <w:sz w:val="18"/>
          <w:szCs w:val="18"/>
        </w:rPr>
        <w:t xml:space="preserve">    RoleDescription string</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3.2 Context Profiles</w:t>
      </w:r>
    </w:p>
    <w:p>
      <w:pPr>
        <w:spacing w:after="200" w:line="300"/>
      </w:pPr>
      <w:r>
        <w:rPr>
          <w:rFonts w:ascii="Georgia" w:cs="Georgia" w:eastAsia="Georgia" w:hAnsi="Georgia"/>
          <w:sz w:val="24"/>
          <w:szCs w:val="24"/>
        </w:rPr>
        <w:t xml:space="preserve">Not every collaborator needs the same context. Furey needs the algebraic framework and recent QBP results. Red Team needs the claims being tested and the evidence structure. A general assistant needs a project overview. The ContextProfile tells the ContextPreparer what to retrieve from the hypergraph.</w:t>
      </w:r>
    </w:p>
    <w:p>
      <w:pPr>
        <w:spacing w:after="0" w:line="240"/>
        <w:ind w:left="360"/>
      </w:pPr>
      <w:r>
        <w:rPr>
          <w:rFonts w:ascii="Courier New" w:cs="Courier New" w:eastAsia="Courier New" w:hAnsi="Courier New"/>
          <w:color w:val="2D2D2D"/>
          <w:sz w:val="18"/>
          <w:szCs w:val="18"/>
        </w:rPr>
        <w:t xml:space="preserve">type ContextProfile struct {</w:t>
      </w:r>
    </w:p>
    <w:p>
      <w:pPr>
        <w:spacing w:after="0" w:line="240"/>
        <w:ind w:left="360"/>
      </w:pPr>
      <w:r>
        <w:rPr>
          <w:rFonts w:ascii="Courier New" w:cs="Courier New" w:eastAsia="Courier New" w:hAnsi="Courier New"/>
          <w:color w:val="2D2D2D"/>
          <w:sz w:val="18"/>
          <w:szCs w:val="18"/>
        </w:rPr>
        <w:t xml:space="preserve">    // Which hypergraph domains to include.</w:t>
      </w:r>
    </w:p>
    <w:p>
      <w:pPr>
        <w:spacing w:after="0" w:line="240"/>
        <w:ind w:left="360"/>
      </w:pPr>
      <w:r>
        <w:rPr>
          <w:rFonts w:ascii="Courier New" w:cs="Courier New" w:eastAsia="Courier New" w:hAnsi="Courier New"/>
          <w:color w:val="2D2D2D"/>
          <w:sz w:val="18"/>
          <w:szCs w:val="18"/>
        </w:rPr>
        <w:t xml:space="preserve">    Domains        []string  // e.g. ["qbp-algebra", "qbp-experiments"]</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Maximum token budget for context injection.</w:t>
      </w:r>
    </w:p>
    <w:p>
      <w:pPr>
        <w:spacing w:after="0" w:line="240"/>
        <w:ind w:left="360"/>
      </w:pPr>
      <w:r>
        <w:rPr>
          <w:rFonts w:ascii="Courier New" w:cs="Courier New" w:eastAsia="Courier New" w:hAnsi="Courier New"/>
          <w:color w:val="2D2D2D"/>
          <w:sz w:val="18"/>
          <w:szCs w:val="18"/>
        </w:rPr>
        <w:t xml:space="preserve">    MaxContextTok  int</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Layer filter: which HG layers to draw from.</w:t>
      </w:r>
    </w:p>
    <w:p>
      <w:pPr>
        <w:spacing w:after="0" w:line="240"/>
        <w:ind w:left="360"/>
      </w:pPr>
      <w:r>
        <w:rPr>
          <w:rFonts w:ascii="Courier New" w:cs="Courier New" w:eastAsia="Courier New" w:hAnsi="Courier New"/>
          <w:color w:val="2D2D2D"/>
          <w:sz w:val="18"/>
          <w:szCs w:val="18"/>
        </w:rPr>
        <w:t xml:space="preserve">    // L0 (episodic) is chatty. L2 (structural) is dense.</w:t>
      </w:r>
    </w:p>
    <w:p>
      <w:pPr>
        <w:spacing w:after="0" w:line="240"/>
        <w:ind w:left="360"/>
      </w:pPr>
      <w:r>
        <w:rPr>
          <w:rFonts w:ascii="Courier New" w:cs="Courier New" w:eastAsia="Courier New" w:hAnsi="Courier New"/>
          <w:color w:val="2D2D2D"/>
          <w:sz w:val="18"/>
          <w:szCs w:val="18"/>
        </w:rPr>
        <w:t xml:space="preserve">    MinLayer       int  // e.g. 1 = skip raw episodic, start from patterns</w:t>
      </w:r>
    </w:p>
    <w:p>
      <w:pPr>
        <w:spacing w:after="0" w:line="240"/>
        <w:ind w:left="360"/>
      </w:pPr>
      <w:r>
        <w:rPr>
          <w:rFonts w:ascii="Courier New" w:cs="Courier New" w:eastAsia="Courier New" w:hAnsi="Courier New"/>
          <w:color w:val="2D2D2D"/>
          <w:sz w:val="18"/>
          <w:szCs w:val="18"/>
        </w:rPr>
        <w:t xml:space="preserve">    MaxLayer       int</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Whether to include USM observations about the human</w:t>
      </w:r>
    </w:p>
    <w:p>
      <w:pPr>
        <w:spacing w:after="0" w:line="240"/>
        <w:ind w:left="360"/>
      </w:pPr>
      <w:r>
        <w:rPr>
          <w:rFonts w:ascii="Courier New" w:cs="Courier New" w:eastAsia="Courier New" w:hAnsi="Courier New"/>
          <w:color w:val="2D2D2D"/>
          <w:sz w:val="18"/>
          <w:szCs w:val="18"/>
        </w:rPr>
        <w:t xml:space="preserve">    // collaborator. Red Team might need these; a code reviewer</w:t>
      </w:r>
    </w:p>
    <w:p>
      <w:pPr>
        <w:spacing w:after="0" w:line="240"/>
        <w:ind w:left="360"/>
      </w:pPr>
      <w:r>
        <w:rPr>
          <w:rFonts w:ascii="Courier New" w:cs="Courier New" w:eastAsia="Courier New" w:hAnsi="Courier New"/>
          <w:color w:val="2D2D2D"/>
          <w:sz w:val="18"/>
          <w:szCs w:val="18"/>
        </w:rPr>
        <w:t xml:space="preserve">    // probably doesn’t.</w:t>
      </w:r>
    </w:p>
    <w:p>
      <w:pPr>
        <w:spacing w:after="0" w:line="240"/>
        <w:ind w:left="360"/>
      </w:pPr>
      <w:r>
        <w:rPr>
          <w:rFonts w:ascii="Courier New" w:cs="Courier New" w:eastAsia="Courier New" w:hAnsi="Courier New"/>
          <w:color w:val="2D2D2D"/>
          <w:sz w:val="18"/>
          <w:szCs w:val="18"/>
        </w:rPr>
        <w:t xml:space="preserve">    IncludeUSM     bool</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Whether to include prior exchanges with this persona.</w:t>
      </w:r>
    </w:p>
    <w:p>
      <w:pPr>
        <w:spacing w:after="0" w:line="240"/>
        <w:ind w:left="360"/>
      </w:pPr>
      <w:r>
        <w:rPr>
          <w:rFonts w:ascii="Courier New" w:cs="Courier New" w:eastAsia="Courier New" w:hAnsi="Courier New"/>
          <w:color w:val="2D2D2D"/>
          <w:sz w:val="18"/>
          <w:szCs w:val="18"/>
        </w:rPr>
        <w:t xml:space="preserve">    IncludeHistory bool</w:t>
      </w:r>
    </w:p>
    <w:p>
      <w:pPr>
        <w:spacing w:after="0" w:line="240"/>
        <w:ind w:left="360"/>
      </w:pPr>
      <w:r>
        <w:rPr>
          <w:rFonts w:ascii="Courier New" w:cs="Courier New" w:eastAsia="Courier New" w:hAnsi="Courier New"/>
          <w:color w:val="2D2D2D"/>
          <w:sz w:val="18"/>
          <w:szCs w:val="18"/>
        </w:rPr>
        <w:t xml:space="preserve">    MaxHistoryTok  int</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3.3 Example Persona Definitions</w:t>
      </w:r>
    </w:p>
    <w:p>
      <w:pPr>
        <w:spacing w:after="200" w:line="300"/>
      </w:pPr>
      <w:r>
        <w:rPr>
          <w:rFonts w:ascii="Georgia" w:cs="Georgia" w:eastAsia="Georgia" w:hAnsi="Georgia"/>
          <w:sz w:val="24"/>
          <w:szCs w:val="24"/>
        </w:rPr>
        <w:t xml:space="preserve">These are illustrative. The actual definitions would live in TOML files under the BMA configuration directory, following the War Table agent-definition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Persona ID</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Provider</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Model</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Context Profile</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Role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gemini-furey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gemini</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gemini-2.5-pro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Domains: qbp-algebra, qbp-proofs. Layers 1–3. No USM. History: yes, 4k tokens.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Algebraist. Explores quaternion structure. Pushes derivations forward.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gemini-feynman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gemini</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gemini-2.5-pro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Domains: qbp-experiments, qbp-physics. Layers 1–3. No USM. History: yes, 4k tokens.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Physicist. Designs experiments. Connects algebra to measurable predictions.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claude-redteam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anthropic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claude-opus-4-6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Domains: all. Layers 0–3. USM: yes. History: yes, 8k tokens.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Red Team. Attacks claims. Identifies blind spots. Has access to full USM for calibrated friction.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claude-sonnet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anthropic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claude-sonnet-4-6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Domains: task-specific. Layers 1–2. No USM. History: 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General-purpose work. Code review, document drafting, technical questions.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local-draft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local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llama3:70b</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Domains: task-specific. Layers 1–2. No USM. History: 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Low-cost drafting and iteration. No API costs. Privacy-preserving.</w:t>
            </w:r>
          </w:p>
        </w:tc>
      </w:tr>
    </w:tbl>
    <w:p>
      <w:r>
        <w:br w:type="page"/>
      </w:r>
    </w:p>
    <w:p>
      <w:pPr>
        <w:pStyle w:val="Heading1"/>
        <w:spacing w:before="480" w:after="240"/>
      </w:pPr>
      <w:r>
        <w:rPr>
          <w:rFonts w:ascii="Arial" w:cs="Arial" w:eastAsia="Arial" w:hAnsi="Arial"/>
          <w:b/>
          <w:bCs/>
          <w:color w:val="1B3A5C"/>
          <w:sz w:val="36"/>
          <w:szCs w:val="36"/>
        </w:rPr>
        <w:t xml:space="preserve">4. Context Preparation: The Hard Problem</w:t>
      </w:r>
    </w:p>
    <w:p>
      <w:pPr>
        <w:spacing w:after="200" w:line="300"/>
      </w:pPr>
      <w:r>
        <w:rPr>
          <w:rFonts w:ascii="Georgia" w:cs="Georgia" w:eastAsia="Georgia" w:hAnsi="Georgia"/>
          <w:sz w:val="24"/>
          <w:szCs w:val="24"/>
        </w:rPr>
        <w:t xml:space="preserve">API dispatch is HTTP. Context preparation is cognition. This is where BMA-BRIDGE’s value lives.</w:t>
      </w:r>
    </w:p>
    <w:p>
      <w:pPr>
        <w:pStyle w:val="Heading2"/>
        <w:spacing w:before="360" w:after="180"/>
      </w:pPr>
      <w:r>
        <w:rPr>
          <w:rFonts w:ascii="Arial" w:cs="Arial" w:eastAsia="Arial" w:hAnsi="Arial"/>
          <w:b/>
          <w:bCs/>
          <w:color w:val="2E5984"/>
          <w:sz w:val="30"/>
          <w:szCs w:val="30"/>
        </w:rPr>
        <w:t xml:space="preserve">4.1 The Preparation Pipeline</w:t>
      </w:r>
    </w:p>
    <w:p>
      <w:pPr>
        <w:spacing w:after="200" w:line="300"/>
      </w:pPr>
      <w:r>
        <w:rPr>
          <w:rFonts w:ascii="Georgia" w:cs="Georgia" w:eastAsia="Georgia" w:hAnsi="Georgia"/>
          <w:sz w:val="24"/>
          <w:szCs w:val="24"/>
        </w:rPr>
        <w:t xml:space="preserve">The ContextPreparer executes a five-stage pipeline for each outbound request:</w:t>
      </w:r>
    </w:p>
    <w:p>
      <w:pPr>
        <w:spacing w:after="200" w:line="300"/>
      </w:pPr>
      <w:r>
        <w:rPr>
          <w:rFonts w:ascii="Georgia" w:cs="Georgia" w:eastAsia="Georgia" w:hAnsi="Georgia"/>
          <w:b/>
          <w:bCs/>
          <w:sz w:val="24"/>
          <w:szCs w:val="24"/>
        </w:rPr>
        <w:t xml:space="preserve">Stage 1 — Persona Load. </w:t>
      </w:r>
      <w:r>
        <w:rPr>
          <w:rFonts w:ascii="Georgia" w:cs="Georgia" w:eastAsia="Georgia" w:hAnsi="Georgia"/>
          <w:sz w:val="24"/>
          <w:szCs w:val="24"/>
        </w:rPr>
        <w:t xml:space="preserve">Load the target persona from the registry. Extract the system template, context profile, and default parameters.</w:t>
      </w:r>
    </w:p>
    <w:p>
      <w:pPr>
        <w:spacing w:after="200" w:line="300"/>
      </w:pPr>
      <w:r>
        <w:rPr>
          <w:rFonts w:ascii="Georgia" w:cs="Georgia" w:eastAsia="Georgia" w:hAnsi="Georgia"/>
          <w:b/>
          <w:bCs/>
          <w:sz w:val="24"/>
          <w:szCs w:val="24"/>
        </w:rPr>
        <w:t xml:space="preserve">Stage 2 — Hypergraph Retrieval. </w:t>
      </w:r>
      <w:r>
        <w:rPr>
          <w:rFonts w:ascii="Georgia" w:cs="Georgia" w:eastAsia="Georgia" w:hAnsi="Georgia"/>
          <w:sz w:val="24"/>
          <w:szCs w:val="24"/>
        </w:rPr>
        <w:t xml:space="preserve">Query BMA-HG-RETRIEVE using the persona’s ContextProfile. Filter by domains, layer range, and recency. Apply the persona’s token budget. The retrieval is salience-weighted: high-salience nodes are included first.</w:t>
      </w:r>
    </w:p>
    <w:p>
      <w:pPr>
        <w:spacing w:after="200" w:line="300"/>
      </w:pPr>
      <w:r>
        <w:rPr>
          <w:rFonts w:ascii="Georgia" w:cs="Georgia" w:eastAsia="Georgia" w:hAnsi="Georgia"/>
          <w:b/>
          <w:bCs/>
          <w:sz w:val="24"/>
          <w:szCs w:val="24"/>
        </w:rPr>
        <w:t xml:space="preserve">Stage 3 — USM Injection (optional). </w:t>
      </w:r>
      <w:r>
        <w:rPr>
          <w:rFonts w:ascii="Georgia" w:cs="Georgia" w:eastAsia="Georgia" w:hAnsi="Georgia"/>
          <w:sz w:val="24"/>
          <w:szCs w:val="24"/>
        </w:rPr>
        <w:t xml:space="preserve">If the persona’s ContextProfile has IncludeUSM=true, inject relevant USM content into the system prompt. For the Red Team persona, this includes the human collaborator’s blind spot catalog and current cognitive state — because the Red Team needs to know where to push. For other personas, USM content is withheld to prevent the collaboration from becoming self-referential.</w:t>
      </w:r>
    </w:p>
    <w:p>
      <w:pPr>
        <w:spacing w:after="200" w:line="300"/>
      </w:pPr>
      <w:r>
        <w:rPr>
          <w:rFonts w:ascii="Georgia" w:cs="Georgia" w:eastAsia="Georgia" w:hAnsi="Georgia"/>
          <w:b/>
          <w:bCs/>
          <w:sz w:val="24"/>
          <w:szCs w:val="24"/>
        </w:rPr>
        <w:t xml:space="preserve">Stage 4 — Template Rendering. </w:t>
      </w:r>
      <w:r>
        <w:rPr>
          <w:rFonts w:ascii="Georgia" w:cs="Georgia" w:eastAsia="Georgia" w:hAnsi="Georgia"/>
          <w:sz w:val="24"/>
          <w:szCs w:val="24"/>
        </w:rPr>
        <w:t xml:space="preserve">Render the persona’s system template with the retrieved context injected into the template variables. The template is Go text/template. Variables include: {{.ProjectContext}}, {{.RelevantContent}}, {{.TaskDescription}}, {{.USMSummary}}, {{.PriorExchanges}}.</w:t>
      </w:r>
    </w:p>
    <w:p>
      <w:pPr>
        <w:spacing w:after="200" w:line="300"/>
      </w:pPr>
      <w:r>
        <w:rPr>
          <w:rFonts w:ascii="Georgia" w:cs="Georgia" w:eastAsia="Georgia" w:hAnsi="Georgia"/>
          <w:b/>
          <w:bCs/>
          <w:sz w:val="24"/>
          <w:szCs w:val="24"/>
        </w:rPr>
        <w:t xml:space="preserve">Stage 5 — Token Budget Enforcement. </w:t>
      </w:r>
      <w:r>
        <w:rPr>
          <w:rFonts w:ascii="Georgia" w:cs="Georgia" w:eastAsia="Georgia" w:hAnsi="Georgia"/>
          <w:sz w:val="24"/>
          <w:szCs w:val="24"/>
        </w:rPr>
        <w:t xml:space="preserve">Count the total tokens (system + messages + attachments). If over the provider’s MaxContextTokens, compress: drop lowest-salience hypergraph content first, then truncate history, then summarize rather than include full documents. Never drop the task description or role definition.</w:t>
      </w:r>
    </w:p>
    <w:p>
      <w:pPr>
        <w:pStyle w:val="Heading2"/>
        <w:spacing w:before="360" w:after="180"/>
      </w:pPr>
      <w:r>
        <w:rPr>
          <w:rFonts w:ascii="Arial" w:cs="Arial" w:eastAsia="Arial" w:hAnsi="Arial"/>
          <w:b/>
          <w:bCs/>
          <w:color w:val="2E5984"/>
          <w:sz w:val="30"/>
          <w:szCs w:val="30"/>
        </w:rPr>
        <w:t xml:space="preserve">4.2 The Onboarding vs. Review Distinction</w:t>
      </w:r>
    </w:p>
    <w:p>
      <w:pPr>
        <w:spacing w:after="200" w:line="300"/>
      </w:pPr>
      <w:r>
        <w:rPr>
          <w:rFonts w:ascii="Georgia" w:cs="Georgia" w:eastAsia="Georgia" w:hAnsi="Georgia"/>
          <w:sz w:val="24"/>
          <w:szCs w:val="24"/>
        </w:rPr>
        <w:t xml:space="preserve">The QBP repo established separate onboarding and review prompts — heavy context for first contact, lighter context for focused tasks. BMA-BRIDGE generalizes this:</w:t>
      </w:r>
    </w:p>
    <w:p>
      <w:pPr>
        <w:spacing w:after="200" w:line="300"/>
      </w:pPr>
      <w:r>
        <w:rPr>
          <w:rFonts w:ascii="Georgia" w:cs="Georgia" w:eastAsia="Georgia" w:hAnsi="Georgia"/>
          <w:b/>
          <w:bCs/>
          <w:sz w:val="24"/>
          <w:szCs w:val="24"/>
        </w:rPr>
        <w:t xml:space="preserve">Onboarding context </w:t>
      </w:r>
      <w:r>
        <w:rPr>
          <w:rFonts w:ascii="Georgia" w:cs="Georgia" w:eastAsia="Georgia" w:hAnsi="Georgia"/>
          <w:sz w:val="24"/>
          <w:szCs w:val="24"/>
        </w:rPr>
        <w:t xml:space="preserve">is sent when the ContextPreparer detects that this persona has no prior exchanges in the current session (or ever, for Level 0 providers). It includes the full persona system prompt, project overview, relevant structural (L2–3) hypergraph content, and the role definition. This is the equivalent of handing a new player their character sheet and a campaign summary.</w:t>
      </w:r>
    </w:p>
    <w:p>
      <w:pPr>
        <w:spacing w:after="200" w:line="300"/>
      </w:pPr>
      <w:r>
        <w:rPr>
          <w:rFonts w:ascii="Georgia" w:cs="Georgia" w:eastAsia="Georgia" w:hAnsi="Georgia"/>
          <w:b/>
          <w:bCs/>
          <w:sz w:val="24"/>
          <w:szCs w:val="24"/>
        </w:rPr>
        <w:t xml:space="preserve">Task context </w:t>
      </w:r>
      <w:r>
        <w:rPr>
          <w:rFonts w:ascii="Georgia" w:cs="Georgia" w:eastAsia="Georgia" w:hAnsi="Georgia"/>
          <w:sz w:val="24"/>
          <w:szCs w:val="24"/>
        </w:rPr>
        <w:t xml:space="preserve">is sent for subsequent exchanges within an established session. It includes only the task-specific content: the question or work item, directly relevant hypergraph nodes, and a minimal role reminder. The overhead drops significantly.</w:t>
      </w:r>
    </w:p>
    <w:p>
      <w:pPr>
        <w:spacing w:after="200" w:line="300"/>
      </w:pPr>
      <w:r>
        <w:rPr>
          <w:rFonts w:ascii="Georgia" w:cs="Georgia" w:eastAsia="Georgia" w:hAnsi="Georgia"/>
          <w:sz w:val="24"/>
          <w:szCs w:val="24"/>
        </w:rPr>
        <w:t xml:space="preserve">The transition from onboarding to task context is automatic. The ContextPreparer tracks exchange count per persona per session and switches at exchange ≥2. For Level 2+ providers (which have their own memory), the onboarding frequency decreases further — BMA only re-onboards when its model of the external collaborator’s memory indicates significant drift.</w:t>
      </w:r>
    </w:p>
    <w:p>
      <w:r>
        <w:br w:type="page"/>
      </w:r>
    </w:p>
    <w:p>
      <w:pPr>
        <w:pStyle w:val="Heading1"/>
        <w:spacing w:before="480" w:after="240"/>
      </w:pPr>
      <w:r>
        <w:rPr>
          <w:rFonts w:ascii="Arial" w:cs="Arial" w:eastAsia="Arial" w:hAnsi="Arial"/>
          <w:b/>
          <w:bCs/>
          <w:color w:val="1B3A5C"/>
          <w:sz w:val="36"/>
          <w:szCs w:val="36"/>
        </w:rPr>
        <w:t xml:space="preserve">5. Response Integration</w:t>
      </w:r>
    </w:p>
    <w:p>
      <w:pPr>
        <w:pStyle w:val="Heading2"/>
        <w:spacing w:before="360" w:after="180"/>
      </w:pPr>
      <w:r>
        <w:rPr>
          <w:rFonts w:ascii="Arial" w:cs="Arial" w:eastAsia="Arial" w:hAnsi="Arial"/>
          <w:b/>
          <w:bCs/>
          <w:color w:val="2E5984"/>
          <w:sz w:val="30"/>
          <w:szCs w:val="30"/>
        </w:rPr>
        <w:t xml:space="preserve">5.1 Hypergraph Nodes from Exchanges</w:t>
      </w:r>
    </w:p>
    <w:p>
      <w:pPr>
        <w:spacing w:after="200" w:line="300"/>
      </w:pPr>
      <w:r>
        <w:rPr>
          <w:rFonts w:ascii="Georgia" w:cs="Georgia" w:eastAsia="Georgia" w:hAnsi="Georgia"/>
          <w:sz w:val="24"/>
          <w:szCs w:val="24"/>
        </w:rPr>
        <w:t xml:space="preserve">Every exchange with an external model produces hypergraph content. The Integrator 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Node Type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Content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Lifecycle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NT_BRIDGE_EXCHANGE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L0 (Episodic)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full exchange: request summary, response content, provider metadata, timing. The raw record.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Compressed in N3 sleep. Most exchanges decay. Significant ones promote to L1.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NT_BRIDGE_ASSESSMENT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L0→L1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BMA’s assessment of the response: quality, relevance, whether it contradicted existing HG content, whether it surfaced something novel.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Written at L0 immediately. Promotes to L1 if the assessment flags contradiction or novelty.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NT_BRIDGE_DIVERGENCE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Written when two collaborators (e.g. Gemini-Furey and Claude-RedTeam) produce conflicting analyses of the same question.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Feeds BMA-EPISTEMIC-MAP conflict zones. May promote to L2 if the divergence reveals a structural blind spot.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NT_CSM_OBSERVATION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USM/CSM update for the AI collaborator. What did this response reveal about the external model’s capabilities, tendencies, blind spots?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Standard CSM lifecycle. Consolidates through sleep into collaborator model patterns.</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5.2 The Cross-Model Review Pattern</w:t>
      </w:r>
    </w:p>
    <w:p>
      <w:pPr>
        <w:spacing w:after="200" w:line="300"/>
      </w:pPr>
      <w:r>
        <w:rPr>
          <w:rFonts w:ascii="Georgia" w:cs="Georgia" w:eastAsia="Georgia" w:hAnsi="Georgia"/>
          <w:sz w:val="24"/>
          <w:szCs w:val="24"/>
        </w:rPr>
        <w:t xml:space="preserve">The QBP project’s core workflow — one model produces, another reviews — is a first-class BMA-BRIDGE operation. The Integrator recognizes review exchanges (where one model’s output was sent to another for critique) and writes NT_BRIDGE_DIVERGENCE nodes when the reviewer disagrees with the producer.</w:t>
      </w:r>
    </w:p>
    <w:p>
      <w:pPr>
        <w:spacing w:after="200" w:line="300"/>
      </w:pPr>
      <w:r>
        <w:rPr>
          <w:rFonts w:ascii="Georgia" w:cs="Georgia" w:eastAsia="Georgia" w:hAnsi="Georgia"/>
          <w:sz w:val="24"/>
          <w:szCs w:val="24"/>
        </w:rPr>
        <w:t xml:space="preserve">This connects directly to the antifragility architecture from Addendum 5.0: a claim that has survived cross-model review gains a CONTRADICTION_TESTED flag and a salience bonus. A claim that fails review gets demoted or discarded. The cross-model review workflow is adversarial scaffolding at the inter-model level — the same principle as the bilateral CRITIQUE cycle, but between independent systems rather than between CTX-A and CTX-B.</w:t>
      </w:r>
    </w:p>
    <w:p>
      <w:pPr>
        <w:pStyle w:val="Heading2"/>
        <w:spacing w:before="360" w:after="180"/>
      </w:pPr>
      <w:r>
        <w:rPr>
          <w:rFonts w:ascii="Arial" w:cs="Arial" w:eastAsia="Arial" w:hAnsi="Arial"/>
          <w:b/>
          <w:bCs/>
          <w:color w:val="2E5984"/>
          <w:sz w:val="30"/>
          <w:szCs w:val="30"/>
        </w:rPr>
        <w:t xml:space="preserve">5.3 Cost and Quality Tracking</w:t>
      </w:r>
    </w:p>
    <w:p>
      <w:pPr>
        <w:spacing w:after="200" w:line="300"/>
      </w:pPr>
      <w:r>
        <w:rPr>
          <w:rFonts w:ascii="Georgia" w:cs="Georgia" w:eastAsia="Georgia" w:hAnsi="Georgia"/>
          <w:sz w:val="24"/>
          <w:szCs w:val="24"/>
        </w:rPr>
        <w:t xml:space="preserve">Every BridgeResponse carries token usage and latency. The Integrator feeds these to the stress bus:</w:t>
      </w:r>
    </w:p>
    <w:p>
      <w:pPr>
        <w:spacing w:after="200" w:line="300"/>
      </w:pPr>
      <w:r>
        <w:rPr>
          <w:rFonts w:ascii="Georgia" w:cs="Georgia" w:eastAsia="Georgia" w:hAnsi="Georgia"/>
          <w:b/>
          <w:bCs/>
          <w:sz w:val="24"/>
          <w:szCs w:val="24"/>
        </w:rPr>
        <w:t xml:space="preserve">SE_BRIDGE_COST: </w:t>
      </w:r>
      <w:r>
        <w:rPr>
          <w:rFonts w:ascii="Georgia" w:cs="Georgia" w:eastAsia="Georgia" w:hAnsi="Georgia"/>
          <w:sz w:val="24"/>
          <w:szCs w:val="24"/>
        </w:rPr>
        <w:t xml:space="preserve">Emitted per exchange. Carries input tokens, output tokens, estimated cost (based on per-provider pricing configuration), and latency. BMA-PRIORITY-TRAINER learns which providers are cost-effective for which task types.</w:t>
      </w:r>
    </w:p>
    <w:p>
      <w:pPr>
        <w:spacing w:after="200" w:line="300"/>
      </w:pPr>
      <w:r>
        <w:rPr>
          <w:rFonts w:ascii="Georgia" w:cs="Georgia" w:eastAsia="Georgia" w:hAnsi="Georgia"/>
          <w:b/>
          <w:bCs/>
          <w:sz w:val="24"/>
          <w:szCs w:val="24"/>
        </w:rPr>
        <w:t xml:space="preserve">SE_BRIDGE_QUALITY: </w:t>
      </w:r>
      <w:r>
        <w:rPr>
          <w:rFonts w:ascii="Georgia" w:cs="Georgia" w:eastAsia="Georgia" w:hAnsi="Georgia"/>
          <w:sz w:val="24"/>
          <w:szCs w:val="24"/>
        </w:rPr>
        <w:t xml:space="preserve">Emitted when the Integrator assesses response quality. A response that contradicts well-established HG content scores low. A response that surfaces novel cross-domain connections scores high. Over time, BMA builds a provider quality profile: this model is good at algebraic reasoning, that model is better at experimental design.</w:t>
      </w:r>
    </w:p>
    <w:p>
      <w:pPr>
        <w:spacing w:after="200" w:line="300"/>
      </w:pPr>
      <w:r>
        <w:rPr>
          <w:rFonts w:ascii="Georgia" w:cs="Georgia" w:eastAsia="Georgia" w:hAnsi="Georgia"/>
          <w:b/>
          <w:bCs/>
          <w:sz w:val="24"/>
          <w:szCs w:val="24"/>
        </w:rPr>
        <w:t xml:space="preserve">SE_BRIDGE_ERROR: </w:t>
      </w:r>
      <w:r>
        <w:rPr>
          <w:rFonts w:ascii="Georgia" w:cs="Georgia" w:eastAsia="Georgia" w:hAnsi="Georgia"/>
          <w:sz w:val="24"/>
          <w:szCs w:val="24"/>
        </w:rPr>
        <w:t xml:space="preserve">Emitted on API errors, rate limits, or timeouts. Repeated errors from a provider trigger automatic fallback: the Dispatcher retries with an alternative provider from the persona’s fallback list.</w:t>
      </w:r>
    </w:p>
    <w:p>
      <w:r>
        <w:br w:type="page"/>
      </w:r>
    </w:p>
    <w:p>
      <w:pPr>
        <w:pStyle w:val="Heading1"/>
        <w:spacing w:before="480" w:after="240"/>
      </w:pPr>
      <w:r>
        <w:rPr>
          <w:rFonts w:ascii="Arial" w:cs="Arial" w:eastAsia="Arial" w:hAnsi="Arial"/>
          <w:b/>
          <w:bCs/>
          <w:color w:val="1B3A5C"/>
          <w:sz w:val="36"/>
          <w:szCs w:val="36"/>
        </w:rPr>
        <w:t xml:space="preserve">6. Orchestration Patterns</w:t>
      </w:r>
    </w:p>
    <w:p>
      <w:pPr>
        <w:spacing w:after="200" w:line="300"/>
      </w:pPr>
      <w:r>
        <w:rPr>
          <w:rFonts w:ascii="Georgia" w:cs="Georgia" w:eastAsia="Georgia" w:hAnsi="Georgia"/>
          <w:sz w:val="24"/>
          <w:szCs w:val="24"/>
        </w:rPr>
        <w:t xml:space="preserve">BMA-BRIDGE supports several exchange patterns beyond simple request-response. These patterns were implicit in the QBP workflow and are made explicit here.</w:t>
      </w:r>
    </w:p>
    <w:p>
      <w:pPr>
        <w:pStyle w:val="Heading2"/>
        <w:spacing w:before="360" w:after="180"/>
      </w:pPr>
      <w:r>
        <w:rPr>
          <w:rFonts w:ascii="Arial" w:cs="Arial" w:eastAsia="Arial" w:hAnsi="Arial"/>
          <w:b/>
          <w:bCs/>
          <w:color w:val="2E5984"/>
          <w:sz w:val="30"/>
          <w:szCs w:val="30"/>
        </w:rPr>
        <w:t xml:space="preserve">6.1 Single Query</w:t>
      </w:r>
    </w:p>
    <w:p>
      <w:pPr>
        <w:spacing w:after="200" w:line="300"/>
      </w:pPr>
      <w:r>
        <w:rPr>
          <w:rFonts w:ascii="Georgia" w:cs="Georgia" w:eastAsia="Georgia" w:hAnsi="Georgia"/>
          <w:sz w:val="24"/>
          <w:szCs w:val="24"/>
        </w:rPr>
        <w:t xml:space="preserve">The simplest pattern. BMA sends a question to one persona and integrates the response.</w:t>
      </w:r>
    </w:p>
    <w:p>
      <w:pPr>
        <w:spacing w:after="200" w:line="300"/>
      </w:pPr>
      <w:r>
        <w:rPr>
          <w:rFonts w:ascii="Georgia" w:cs="Georgia" w:eastAsia="Georgia" w:hAnsi="Georgia"/>
          <w:sz w:val="24"/>
          <w:szCs w:val="24"/>
        </w:rPr>
        <w:t xml:space="preserve">Use case: asking Gemini-Furey to check a specific algebraic derivation.</w:t>
      </w:r>
    </w:p>
    <w:p>
      <w:pPr>
        <w:pStyle w:val="Heading2"/>
        <w:spacing w:before="360" w:after="180"/>
      </w:pPr>
      <w:r>
        <w:rPr>
          <w:rFonts w:ascii="Arial" w:cs="Arial" w:eastAsia="Arial" w:hAnsi="Arial"/>
          <w:b/>
          <w:bCs/>
          <w:color w:val="2E5984"/>
          <w:sz w:val="30"/>
          <w:szCs w:val="30"/>
        </w:rPr>
        <w:t xml:space="preserve">6.2 Cross-Model Review</w:t>
      </w:r>
    </w:p>
    <w:p>
      <w:pPr>
        <w:spacing w:after="200" w:line="300"/>
      </w:pPr>
      <w:r>
        <w:rPr>
          <w:rFonts w:ascii="Georgia" w:cs="Georgia" w:eastAsia="Georgia" w:hAnsi="Georgia"/>
          <w:sz w:val="24"/>
          <w:szCs w:val="24"/>
        </w:rPr>
        <w:t xml:space="preserve">BMA sends a work product to Persona A for production, then sends Persona A’s output to Persona B for review.</w:t>
      </w:r>
    </w:p>
    <w:p>
      <w:pPr>
        <w:spacing w:after="200" w:line="300"/>
      </w:pPr>
      <w:r>
        <w:rPr>
          <w:rFonts w:ascii="Georgia" w:cs="Georgia" w:eastAsia="Georgia" w:hAnsi="Georgia"/>
          <w:sz w:val="24"/>
          <w:szCs w:val="24"/>
        </w:rPr>
        <w:t xml:space="preserve">Use case: Gemini-Furey produces a proof step; Claude-RedTeam attacks it. This is the QBP review workflow formalized.</w:t>
      </w:r>
    </w:p>
    <w:p>
      <w:pPr>
        <w:pStyle w:val="Heading2"/>
        <w:spacing w:before="360" w:after="180"/>
      </w:pPr>
      <w:r>
        <w:rPr>
          <w:rFonts w:ascii="Arial" w:cs="Arial" w:eastAsia="Arial" w:hAnsi="Arial"/>
          <w:b/>
          <w:bCs/>
          <w:color w:val="2E5984"/>
          <w:sz w:val="30"/>
          <w:szCs w:val="30"/>
        </w:rPr>
        <w:t xml:space="preserve">6.3 Parallel Fan-Out</w:t>
      </w:r>
    </w:p>
    <w:p>
      <w:pPr>
        <w:spacing w:after="200" w:line="300"/>
      </w:pPr>
      <w:r>
        <w:rPr>
          <w:rFonts w:ascii="Georgia" w:cs="Georgia" w:eastAsia="Georgia" w:hAnsi="Georgia"/>
          <w:sz w:val="24"/>
          <w:szCs w:val="24"/>
        </w:rPr>
        <w:t xml:space="preserve">BMA sends the same question to multiple personas simultaneously and synthesizes the responses.</w:t>
      </w:r>
    </w:p>
    <w:p>
      <w:pPr>
        <w:spacing w:after="200" w:line="300"/>
      </w:pPr>
      <w:r>
        <w:rPr>
          <w:rFonts w:ascii="Georgia" w:cs="Georgia" w:eastAsia="Georgia" w:hAnsi="Georgia"/>
          <w:sz w:val="24"/>
          <w:szCs w:val="24"/>
        </w:rPr>
        <w:t xml:space="preserve">Use case: asking Gemini-Furey (algebra), Gemini-Feynman (physics), and Claude-RedTeam (critique) to each analyze a new result from their respective frames. BMA synthesizes the three perspectives into a combined assessment, writing NT_BRIDGE_DIVERGENCE nodes where they disagree.</w:t>
      </w:r>
    </w:p>
    <w:p>
      <w:pPr>
        <w:pStyle w:val="Heading2"/>
        <w:spacing w:before="360" w:after="180"/>
      </w:pPr>
      <w:r>
        <w:rPr>
          <w:rFonts w:ascii="Arial" w:cs="Arial" w:eastAsia="Arial" w:hAnsi="Arial"/>
          <w:b/>
          <w:bCs/>
          <w:color w:val="2E5984"/>
          <w:sz w:val="30"/>
          <w:szCs w:val="30"/>
        </w:rPr>
        <w:t xml:space="preserve">6.4 Iterative Refinement</w:t>
      </w:r>
    </w:p>
    <w:p>
      <w:pPr>
        <w:spacing w:after="200" w:line="300"/>
      </w:pPr>
      <w:r>
        <w:rPr>
          <w:rFonts w:ascii="Georgia" w:cs="Georgia" w:eastAsia="Georgia" w:hAnsi="Georgia"/>
          <w:sz w:val="24"/>
          <w:szCs w:val="24"/>
        </w:rPr>
        <w:t xml:space="preserve">BMA sends a draft to a persona, receives feedback, revises, and re-sends. The cycle continues until a quality threshold is met or a maximum iteration count is reached.</w:t>
      </w:r>
    </w:p>
    <w:p>
      <w:pPr>
        <w:spacing w:after="200" w:line="300"/>
      </w:pPr>
      <w:r>
        <w:rPr>
          <w:rFonts w:ascii="Georgia" w:cs="Georgia" w:eastAsia="Georgia" w:hAnsi="Georgia"/>
          <w:sz w:val="24"/>
          <w:szCs w:val="24"/>
        </w:rPr>
        <w:t xml:space="preserve">Use case: producing a QBP paper section. Draft → Furey review → revise → RedTeam critique → revise → Feynman experimental connection → final.</w:t>
      </w:r>
    </w:p>
    <w:p>
      <w:pPr>
        <w:pStyle w:val="Heading2"/>
        <w:spacing w:before="360" w:after="180"/>
      </w:pPr>
      <w:r>
        <w:rPr>
          <w:rFonts w:ascii="Arial" w:cs="Arial" w:eastAsia="Arial" w:hAnsi="Arial"/>
          <w:b/>
          <w:bCs/>
          <w:color w:val="2E5984"/>
          <w:sz w:val="30"/>
          <w:szCs w:val="30"/>
        </w:rPr>
        <w:t xml:space="preserve">6.5 Human-in-the-Loop</w:t>
      </w:r>
    </w:p>
    <w:p>
      <w:pPr>
        <w:spacing w:after="200" w:line="300"/>
      </w:pPr>
      <w:r>
        <w:rPr>
          <w:rFonts w:ascii="Georgia" w:cs="Georgia" w:eastAsia="Georgia" w:hAnsi="Georgia"/>
          <w:sz w:val="24"/>
          <w:szCs w:val="24"/>
        </w:rPr>
        <w:t xml:space="preserve">BMA prepares a synthesis of multiple AI perspectives and presents it to James for decision. The human’s decision is recorded as a high-signal USM observation (behavioral override — highest in Sonnet’s signal hierarchy).</w:t>
      </w:r>
    </w:p>
    <w:p>
      <w:pPr>
        <w:spacing w:after="200" w:line="300"/>
      </w:pPr>
      <w:r>
        <w:rPr>
          <w:rFonts w:ascii="Georgia" w:cs="Georgia" w:eastAsia="Georgia" w:hAnsi="Georgia"/>
          <w:sz w:val="24"/>
          <w:szCs w:val="24"/>
        </w:rPr>
        <w:t xml:space="preserve">This is the beekeeper pattern: the AI systems produce options and analyses; the human makes the call. BMA-BRIDGE is the infrastructure that enables this without James having to manually copy-paste between chat windows.</w:t>
      </w:r>
    </w:p>
    <w:p>
      <w:pPr>
        <w:spacing w:after="0" w:line="240"/>
        <w:ind w:left="360"/>
      </w:pPr>
      <w:r>
        <w:rPr>
          <w:rFonts w:ascii="Courier New" w:cs="Courier New" w:eastAsia="Courier New" w:hAnsi="Courier New"/>
          <w:color w:val="2D2D2D"/>
          <w:sz w:val="18"/>
          <w:szCs w:val="18"/>
        </w:rPr>
        <w:t xml:space="preserve">// Orchestrator runs multi-step exchange patterns.</w:t>
      </w:r>
    </w:p>
    <w:p>
      <w:pPr>
        <w:spacing w:after="0" w:line="240"/>
        <w:ind w:left="360"/>
      </w:pPr>
      <w:r>
        <w:rPr>
          <w:rFonts w:ascii="Courier New" w:cs="Courier New" w:eastAsia="Courier New" w:hAnsi="Courier New"/>
          <w:color w:val="2D2D2D"/>
          <w:sz w:val="18"/>
          <w:szCs w:val="18"/>
        </w:rPr>
        <w:t xml:space="preserve">type Orchestrator struct {</w:t>
      </w:r>
    </w:p>
    <w:p>
      <w:pPr>
        <w:spacing w:after="0" w:line="240"/>
        <w:ind w:left="360"/>
      </w:pPr>
      <w:r>
        <w:rPr>
          <w:rFonts w:ascii="Courier New" w:cs="Courier New" w:eastAsia="Courier New" w:hAnsi="Courier New"/>
          <w:color w:val="2D2D2D"/>
          <w:sz w:val="18"/>
          <w:szCs w:val="18"/>
        </w:rPr>
        <w:t xml:space="preserve">    bridge     *Bridge</w:t>
      </w:r>
    </w:p>
    <w:p>
      <w:pPr>
        <w:spacing w:after="0" w:line="240"/>
        <w:ind w:left="360"/>
      </w:pPr>
      <w:r>
        <w:rPr>
          <w:rFonts w:ascii="Courier New" w:cs="Courier New" w:eastAsia="Courier New" w:hAnsi="Courier New"/>
          <w:color w:val="2D2D2D"/>
          <w:sz w:val="18"/>
          <w:szCs w:val="18"/>
        </w:rPr>
        <w:t xml:space="preserve">    personas   *PersonaRegistry</w:t>
      </w:r>
    </w:p>
    <w:p>
      <w:pPr>
        <w:spacing w:after="0" w:line="240"/>
        <w:ind w:left="360"/>
      </w:pPr>
      <w:r>
        <w:rPr>
          <w:rFonts w:ascii="Courier New" w:cs="Courier New" w:eastAsia="Courier New" w:hAnsi="Courier New"/>
          <w:color w:val="2D2D2D"/>
          <w:sz w:val="18"/>
          <w:szCs w:val="18"/>
        </w:rPr>
        <w:t xml:space="preserve">    hg         *Hypergraph</w:t>
      </w:r>
    </w:p>
    <w:p>
      <w:pPr>
        <w:spacing w:after="0" w:line="240"/>
        <w:ind w:left="360"/>
      </w:pPr>
      <w:r>
        <w:rPr>
          <w:rFonts w:ascii="Courier New" w:cs="Courier New" w:eastAsia="Courier New" w:hAnsi="Courier New"/>
          <w:color w:val="2D2D2D"/>
          <w:sz w:val="18"/>
          <w:szCs w:val="18"/>
        </w:rPr>
        <w:t xml:space="preserve">    usm        *USM</w:t>
      </w:r>
    </w:p>
    <w:p>
      <w:pPr>
        <w:spacing w:after="0" w:line="240"/>
        <w:ind w:left="360"/>
      </w:pPr>
      <w:r>
        <w:rPr>
          <w:rFonts w:ascii="Courier New" w:cs="Courier New" w:eastAsia="Courier New" w:hAnsi="Courier New"/>
          <w:color w:val="2D2D2D"/>
          <w:sz w:val="18"/>
          <w:szCs w:val="18"/>
        </w:rPr>
        <w:t xml:space="preserve">    stress     *StressBus</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ReviewPipeline sends output from producer to reviewer.</w:t>
      </w:r>
    </w:p>
    <w:p>
      <w:pPr>
        <w:spacing w:after="0" w:line="240"/>
        <w:ind w:left="360"/>
      </w:pPr>
      <w:r>
        <w:rPr>
          <w:rFonts w:ascii="Courier New" w:cs="Courier New" w:eastAsia="Courier New" w:hAnsi="Courier New"/>
          <w:color w:val="2D2D2D"/>
          <w:sz w:val="18"/>
          <w:szCs w:val="18"/>
        </w:rPr>
        <w:t xml:space="preserve">func (o *Orchestrator) ReviewPipeline(</w:t>
      </w:r>
    </w:p>
    <w:p>
      <w:pPr>
        <w:spacing w:after="0" w:line="240"/>
        <w:ind w:left="360"/>
      </w:pPr>
      <w:r>
        <w:rPr>
          <w:rFonts w:ascii="Courier New" w:cs="Courier New" w:eastAsia="Courier New" w:hAnsi="Courier New"/>
          <w:color w:val="2D2D2D"/>
          <w:sz w:val="18"/>
          <w:szCs w:val="18"/>
        </w:rPr>
        <w:t xml:space="preserve">    ctx context.Context,</w:t>
      </w:r>
    </w:p>
    <w:p>
      <w:pPr>
        <w:spacing w:after="0" w:line="240"/>
        <w:ind w:left="360"/>
      </w:pPr>
      <w:r>
        <w:rPr>
          <w:rFonts w:ascii="Courier New" w:cs="Courier New" w:eastAsia="Courier New" w:hAnsi="Courier New"/>
          <w:color w:val="2D2D2D"/>
          <w:sz w:val="18"/>
          <w:szCs w:val="18"/>
        </w:rPr>
        <w:t xml:space="preserve">    task string,</w:t>
      </w:r>
    </w:p>
    <w:p>
      <w:pPr>
        <w:spacing w:after="0" w:line="240"/>
        <w:ind w:left="360"/>
      </w:pPr>
      <w:r>
        <w:rPr>
          <w:rFonts w:ascii="Courier New" w:cs="Courier New" w:eastAsia="Courier New" w:hAnsi="Courier New"/>
          <w:color w:val="2D2D2D"/>
          <w:sz w:val="18"/>
          <w:szCs w:val="18"/>
        </w:rPr>
        <w:t xml:space="preserve">    producerID PersonaID,</w:t>
      </w:r>
    </w:p>
    <w:p>
      <w:pPr>
        <w:spacing w:after="0" w:line="240"/>
        <w:ind w:left="360"/>
      </w:pPr>
      <w:r>
        <w:rPr>
          <w:rFonts w:ascii="Courier New" w:cs="Courier New" w:eastAsia="Courier New" w:hAnsi="Courier New"/>
          <w:color w:val="2D2D2D"/>
          <w:sz w:val="18"/>
          <w:szCs w:val="18"/>
        </w:rPr>
        <w:t xml:space="preserve">    reviewerID PersonaID,</w:t>
      </w:r>
    </w:p>
    <w:p>
      <w:pPr>
        <w:spacing w:after="0" w:line="240"/>
        <w:ind w:left="360"/>
      </w:pPr>
      <w:r>
        <w:rPr>
          <w:rFonts w:ascii="Courier New" w:cs="Courier New" w:eastAsia="Courier New" w:hAnsi="Courier New"/>
          <w:color w:val="2D2D2D"/>
          <w:sz w:val="18"/>
          <w:szCs w:val="18"/>
        </w:rPr>
        <w:t xml:space="preserve">) (*ReviewResult, error) {</w:t>
      </w:r>
    </w:p>
    <w:p>
      <w:pPr>
        <w:spacing w:after="0" w:line="240"/>
        <w:ind w:left="360"/>
      </w:pPr>
      <w:r>
        <w:rPr>
          <w:rFonts w:ascii="Courier New" w:cs="Courier New" w:eastAsia="Courier New" w:hAnsi="Courier New"/>
          <w:color w:val="2D2D2D"/>
          <w:sz w:val="18"/>
          <w:szCs w:val="18"/>
        </w:rPr>
        <w:t xml:space="preserve">    // 1. Send to producer</w:t>
      </w:r>
    </w:p>
    <w:p>
      <w:pPr>
        <w:spacing w:after="0" w:line="240"/>
        <w:ind w:left="360"/>
      </w:pPr>
      <w:r>
        <w:rPr>
          <w:rFonts w:ascii="Courier New" w:cs="Courier New" w:eastAsia="Courier New" w:hAnsi="Courier New"/>
          <w:color w:val="2D2D2D"/>
          <w:sz w:val="18"/>
          <w:szCs w:val="18"/>
        </w:rPr>
        <w:t xml:space="preserve">    prodResp, err := o.bridge.Exchange(ctx, producerID, task)</w:t>
      </w:r>
    </w:p>
    <w:p>
      <w:pPr>
        <w:spacing w:after="0" w:line="240"/>
        <w:ind w:left="360"/>
      </w:pPr>
      <w:r>
        <w:rPr>
          <w:rFonts w:ascii="Courier New" w:cs="Courier New" w:eastAsia="Courier New" w:hAnsi="Courier New"/>
          <w:color w:val="2D2D2D"/>
          <w:sz w:val="18"/>
          <w:szCs w:val="18"/>
        </w:rPr>
        <w:t xml:space="preserve">    if err != nil { return nil, err }</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2. Frame review request with producer’s output</w:t>
      </w:r>
    </w:p>
    <w:p>
      <w:pPr>
        <w:spacing w:after="0" w:line="240"/>
        <w:ind w:left="360"/>
      </w:pPr>
      <w:r>
        <w:rPr>
          <w:rFonts w:ascii="Courier New" w:cs="Courier New" w:eastAsia="Courier New" w:hAnsi="Courier New"/>
          <w:color w:val="2D2D2D"/>
          <w:sz w:val="18"/>
          <w:szCs w:val="18"/>
        </w:rPr>
        <w:t xml:space="preserve">    reviewTask := fmt.Sprintf(</w:t>
      </w:r>
    </w:p>
    <w:p>
      <w:pPr>
        <w:spacing w:after="0" w:line="240"/>
        <w:ind w:left="360"/>
      </w:pPr>
      <w:r>
        <w:rPr>
          <w:rFonts w:ascii="Courier New" w:cs="Courier New" w:eastAsia="Courier New" w:hAnsi="Courier New"/>
          <w:color w:val="2D2D2D"/>
          <w:sz w:val="18"/>
          <w:szCs w:val="18"/>
        </w:rPr>
        <w:t xml:space="preserve">        "Review the following output for correctness, "+ </w:t>
      </w:r>
    </w:p>
    <w:p>
      <w:pPr>
        <w:spacing w:after="0" w:line="240"/>
        <w:ind w:left="360"/>
      </w:pPr>
      <w:r>
        <w:rPr>
          <w:rFonts w:ascii="Courier New" w:cs="Courier New" w:eastAsia="Courier New" w:hAnsi="Courier New"/>
          <w:color w:val="2D2D2D"/>
          <w:sz w:val="18"/>
          <w:szCs w:val="18"/>
        </w:rPr>
        <w:t xml:space="preserve">        "completeness, and blind spots:\n\n%s",</w:t>
      </w:r>
    </w:p>
    <w:p>
      <w:pPr>
        <w:spacing w:after="0" w:line="240"/>
        <w:ind w:left="360"/>
      </w:pPr>
      <w:r>
        <w:rPr>
          <w:rFonts w:ascii="Courier New" w:cs="Courier New" w:eastAsia="Courier New" w:hAnsi="Courier New"/>
          <w:color w:val="2D2D2D"/>
          <w:sz w:val="18"/>
          <w:szCs w:val="18"/>
        </w:rPr>
        <w:t xml:space="preserve">        prodResp.Content,</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3. Send to reviewer</w:t>
      </w:r>
    </w:p>
    <w:p>
      <w:pPr>
        <w:spacing w:after="0" w:line="240"/>
        <w:ind w:left="360"/>
      </w:pPr>
      <w:r>
        <w:rPr>
          <w:rFonts w:ascii="Courier New" w:cs="Courier New" w:eastAsia="Courier New" w:hAnsi="Courier New"/>
          <w:color w:val="2D2D2D"/>
          <w:sz w:val="18"/>
          <w:szCs w:val="18"/>
        </w:rPr>
        <w:t xml:space="preserve">    revResp, err := o.bridge.Exchange(ctx, reviewerID, reviewTask)</w:t>
      </w:r>
    </w:p>
    <w:p>
      <w:pPr>
        <w:spacing w:after="0" w:line="240"/>
        <w:ind w:left="360"/>
      </w:pPr>
      <w:r>
        <w:rPr>
          <w:rFonts w:ascii="Courier New" w:cs="Courier New" w:eastAsia="Courier New" w:hAnsi="Courier New"/>
          <w:color w:val="2D2D2D"/>
          <w:sz w:val="18"/>
          <w:szCs w:val="18"/>
        </w:rPr>
        <w:t xml:space="preserve">    if err != nil { return nil, err }</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4. Integrator writes divergence nodes if reviewer disagrees</w:t>
      </w:r>
    </w:p>
    <w:p>
      <w:pPr>
        <w:spacing w:after="0" w:line="240"/>
        <w:ind w:left="360"/>
      </w:pPr>
      <w:r>
        <w:rPr>
          <w:rFonts w:ascii="Courier New" w:cs="Courier New" w:eastAsia="Courier New" w:hAnsi="Courier New"/>
          <w:color w:val="2D2D2D"/>
          <w:sz w:val="18"/>
          <w:szCs w:val="18"/>
        </w:rPr>
        <w:t xml:space="preserve">    return o.bridge.integrator.AssessReview(</w:t>
      </w:r>
    </w:p>
    <w:p>
      <w:pPr>
        <w:spacing w:after="0" w:line="240"/>
        <w:ind w:left="360"/>
      </w:pPr>
      <w:r>
        <w:rPr>
          <w:rFonts w:ascii="Courier New" w:cs="Courier New" w:eastAsia="Courier New" w:hAnsi="Courier New"/>
          <w:color w:val="2D2D2D"/>
          <w:sz w:val="18"/>
          <w:szCs w:val="18"/>
        </w:rPr>
        <w:t xml:space="preserve">        prodResp, revResp, task,</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w:t>
      </w:r>
    </w:p>
    <w:p>
      <w:r>
        <w:br w:type="page"/>
      </w:r>
    </w:p>
    <w:p>
      <w:pPr>
        <w:pStyle w:val="Heading1"/>
        <w:spacing w:before="480" w:after="240"/>
      </w:pPr>
      <w:r>
        <w:rPr>
          <w:rFonts w:ascii="Arial" w:cs="Arial" w:eastAsia="Arial" w:hAnsi="Arial"/>
          <w:b/>
          <w:bCs/>
          <w:color w:val="1B3A5C"/>
          <w:sz w:val="36"/>
          <w:szCs w:val="36"/>
        </w:rPr>
        <w:t xml:space="preserve">7. USM/CSM Integration: Modeling AI Collaborators</w:t>
      </w:r>
    </w:p>
    <w:p>
      <w:pPr>
        <w:spacing w:after="200" w:line="300"/>
      </w:pPr>
      <w:r>
        <w:rPr>
          <w:rFonts w:ascii="Georgia" w:cs="Georgia" w:eastAsia="Georgia" w:hAnsi="Georgia"/>
          <w:sz w:val="24"/>
          <w:szCs w:val="24"/>
        </w:rPr>
        <w:t xml:space="preserve">BMA-BRIDGE connects to the USM/CSM architecture from Addendum 8.0. Every AI persona gets a collaborator model region, just as James does. The difference is in what is modeled.</w:t>
      </w:r>
    </w:p>
    <w:p>
      <w:pPr>
        <w:pStyle w:val="Heading2"/>
        <w:spacing w:before="360" w:after="180"/>
      </w:pPr>
      <w:r>
        <w:rPr>
          <w:rFonts w:ascii="Arial" w:cs="Arial" w:eastAsia="Arial" w:hAnsi="Arial"/>
          <w:b/>
          <w:bCs/>
          <w:color w:val="2E5984"/>
          <w:sz w:val="30"/>
          <w:szCs w:val="30"/>
        </w:rPr>
        <w:t xml:space="preserve">7.1 What the CSM Tracks for AI Collaborators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USM Dimension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Human Collaborator (James)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AI Collaborator (e.g. Gemini-Furey)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Epistemic State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What James knows and doesn’t know across domains.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What Furey has been given in prior exchanges. What it has and hasn’t seen.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Intent Model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What James is trying to accomplish.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Not applicable. AI collaborators don’t have persistent intent.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Cognitive Style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How James thinks. Reformulation pattern, depth preference.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Model tendencies. Gemini’s associative style vs. Claude’s analytical style. Tendency toward confidence vs. hedging.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Blind Spot Catalog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Where James’s reasoning tends to fail.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Where this model tends to fail. Known weaknesses per domain. Hallucination patterns.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Affective Baseline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James’s emotional register and current state.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Not applicable. But response-quality variance is tracked — some models degrade under long context or complex prompts.</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The AI collaborator CSM updates on every exchange. The Integrator writes NT_CSM_OBSERVATION nodes after each response, recording: did the model follow the role correctly? Did it produce novel content or rehash known material? Did it contradict prior outputs (internal inconsistency)? Did it handle the context well or show signs of context-window degradation?</w:t>
      </w:r>
    </w:p>
    <w:p>
      <w:pPr>
        <w:spacing w:after="200" w:line="300"/>
      </w:pPr>
      <w:r>
        <w:rPr>
          <w:rFonts w:ascii="Georgia" w:cs="Georgia" w:eastAsia="Georgia" w:hAnsi="Georgia"/>
          <w:sz w:val="24"/>
          <w:szCs w:val="24"/>
        </w:rPr>
        <w:t xml:space="preserve">Over time, through sleep consolidation, these observations compress into a model of each AI collaborator’s strengths and weaknesses. The ContextPreparer uses this model to calibrate what it sends: more context for models that lose track easily, less for models that handle long context well; explicit role reminders for models that drift off-persona, lighter reminders for models that hold character reliably.</w:t>
      </w:r>
    </w:p>
    <w:p>
      <w:pPr>
        <w:pStyle w:val="Heading2"/>
        <w:spacing w:before="360" w:after="180"/>
      </w:pPr>
      <w:r>
        <w:rPr>
          <w:rFonts w:ascii="Arial" w:cs="Arial" w:eastAsia="Arial" w:hAnsi="Arial"/>
          <w:b/>
          <w:bCs/>
          <w:color w:val="2E5984"/>
          <w:sz w:val="30"/>
          <w:szCs w:val="30"/>
        </w:rPr>
        <w:t xml:space="preserve">7.2 The Inter-Agent Epistemic Map</w:t>
      </w:r>
    </w:p>
    <w:p>
      <w:pPr>
        <w:spacing w:after="200" w:line="300"/>
      </w:pPr>
      <w:r>
        <w:rPr>
          <w:rFonts w:ascii="Georgia" w:cs="Georgia" w:eastAsia="Georgia" w:hAnsi="Georgia"/>
          <w:sz w:val="24"/>
          <w:szCs w:val="24"/>
        </w:rPr>
        <w:t xml:space="preserve">In Run phase, BMA-EPISTEMIC-MAP extends to track divergence between AI collaborators. When Gemini-Furey and Claude-RedTeam persistently disagree on a specific claim, this is not noise — it is a map of where the frontier of the research actually lies. The disagreement zones are the most valuable knowledge in the collaboration, because they mark the places where the question is genuinely open.</w:t>
      </w:r>
    </w:p>
    <w:p>
      <w:r>
        <w:br w:type="page"/>
      </w:r>
    </w:p>
    <w:p>
      <w:pPr>
        <w:pStyle w:val="Heading1"/>
        <w:spacing w:before="480" w:after="240"/>
      </w:pPr>
      <w:r>
        <w:rPr>
          <w:rFonts w:ascii="Arial" w:cs="Arial" w:eastAsia="Arial" w:hAnsi="Arial"/>
          <w:b/>
          <w:bCs/>
          <w:color w:val="1B3A5C"/>
          <w:sz w:val="36"/>
          <w:szCs w:val="36"/>
        </w:rPr>
        <w:t xml:space="preserve">8. Phased Implementation</w:t>
      </w:r>
    </w:p>
    <w:p>
      <w:pPr>
        <w:pStyle w:val="Heading2"/>
        <w:spacing w:before="360" w:after="180"/>
      </w:pPr>
      <w:r>
        <w:rPr>
          <w:rFonts w:ascii="Arial" w:cs="Arial" w:eastAsia="Arial" w:hAnsi="Arial"/>
          <w:b/>
          <w:bCs/>
          <w:color w:val="2E5984"/>
          <w:sz w:val="30"/>
          <w:szCs w:val="30"/>
        </w:rPr>
        <w:t xml:space="preserve">8.1 Crawl: Single-Exchange, All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Milestone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Gate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B-C1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Provider interface + Anthropic implementation. Send/receive works.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Successful API call to Claude. Response returned. Token usage reported.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B-C2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Gemini provider + OpenAI-compatible provider + Local (ollama) provider.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All four providers pass the same integration test suite.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B-C3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Persona Registry. TOML-based persona definitions. System template rendering.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Load persona from TOML. Render template with test context. Verify output matches expected.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B-C4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ContextPreparer Stage 1–2 (persona load + HG retrieval). No USM injection yet.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Prepare context for Gemini-Furey with QBP algebra content. Token count within budget.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B-C5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Integrator. NT_BRIDGE_EXCHANGE + NT_BRIDGE_ASSESSMENT nodes written to HG.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After exchange: query HG for NT_BRIDGE_EXCHANGE node. Verify content, metadata, timestamps.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B-C6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Stress bus integration. SE_BRIDGE_COST + SE_BRIDGE_ERROR events.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Trigger exchange; verify SE_BRIDGE_COST on stress bus with correct token counts.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B-C7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Onboarding vs. task context switch. ContextPreparer auto-detects first exchange.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First exchange sends full onboarding context. Second exchange sends task-only context. Token difference &gt;50%.</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8.2 Walk: Orchestration + USM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Milestone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Gate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B-W1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USM injection (ContextPreparer Stage 3). Red Team persona gets USM content.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RedTeam exchange includes blind spot catalog in system prompt. Other personas do not.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B-W2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Cross-Model Review orchestration pattern.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ReviewPipeline(Furey, RedTeam) produces assessment with divergence detection.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B-W3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Parallel Fan-Out pattern.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FanOut(Furey, Feynman, RedTeam) returns 3 responses. Divergence nodes written for disagreements.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B-W4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AI collaborator CSM. NT_CSM_OBSERVATION written per exchange.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After 10 exchanges with Gemini-Furey: CSM query returns ≥10 observations with model tendency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B-W5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Provider quality tracking. SE_BRIDGE_QUALITY events. Provider profiles forming.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After 20+ exchanges: query provider profile for Gemini. Returns quality scores by task type.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B-W6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Level 2 memory sync. BMA models what Gemini’s context cache contains.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Exchange with cached Gemini session. BMA correctly omits content it knows Gemini already has.</w:t>
            </w:r>
          </w:p>
        </w:tc>
      </w:tr>
    </w:tbl>
    <w:p>
      <w:pPr>
        <w:spacing w:after="200" w:line="300"/>
      </w:pPr>
      <w:r>
        <w:rPr>
          <w:rFonts w:ascii="Georgia" w:cs="Georgia" w:eastAsia="Georgia" w:hAnsi="Georgia"/>
          <w:sz w:val="24"/>
          <w:szCs w:val="24"/>
        </w:rPr>
        <w:t xml:space="preserve"/>
      </w:r>
    </w:p>
    <w:p>
      <w:pPr>
        <w:pStyle w:val="Heading2"/>
        <w:spacing w:before="360" w:after="180"/>
      </w:pPr>
      <w:r>
        <w:rPr>
          <w:rFonts w:ascii="Arial" w:cs="Arial" w:eastAsia="Arial" w:hAnsi="Arial"/>
          <w:b/>
          <w:bCs/>
          <w:color w:val="2E5984"/>
          <w:sz w:val="30"/>
          <w:szCs w:val="30"/>
        </w:rPr>
        <w:t xml:space="preserve">8.3 Run: Federated + Distributed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Milestone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Gate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B-R1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BMA-to-BMA provider (Level 3). Two BMA instances negotiate shared state.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Two BMA instances exchange HG content via gRPC. Both HGs updated consistently.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B-R2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Inter-agent epistemic map. Persistent disagreement zones tracked cluster-wide.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After 50+ cross-model exchanges: epistemic map shows ≥3 persistent disagreement zones.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B-R3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Distributed orchestration. Fan-out across cluster nodes.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ReviewPipeline with producer on Node A, reviewer on Node B. Divergence nodes in distributed store.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B-R4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CSM-informed task routing. System routes questions to the best collaborator.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Present ambiguous QBP question. System recommends routing based on CSM competence profiles.</w:t>
            </w:r>
          </w:p>
        </w:tc>
      </w:tr>
    </w:tbl>
    <w:p>
      <w:r>
        <w:br w:type="page"/>
      </w:r>
    </w:p>
    <w:p>
      <w:pPr>
        <w:pStyle w:val="Heading1"/>
        <w:spacing w:before="480" w:after="240"/>
      </w:pPr>
      <w:r>
        <w:rPr>
          <w:rFonts w:ascii="Arial" w:cs="Arial" w:eastAsia="Arial" w:hAnsi="Arial"/>
          <w:b/>
          <w:bCs/>
          <w:color w:val="1B3A5C"/>
          <w:sz w:val="36"/>
          <w:szCs w:val="36"/>
        </w:rPr>
        <w:t xml:space="preserve">9. Relationship to QBP Proto-Work</w:t>
      </w:r>
    </w:p>
    <w:p>
      <w:pPr>
        <w:spacing w:after="200" w:line="300"/>
      </w:pPr>
      <w:r>
        <w:rPr>
          <w:rFonts w:ascii="Georgia" w:cs="Georgia" w:eastAsia="Georgia" w:hAnsi="Georgia"/>
          <w:sz w:val="24"/>
          <w:szCs w:val="24"/>
        </w:rPr>
        <w:t xml:space="preserve">The QBP repository at github.com/JamesPagetButler/QBP contains the conceptual ancestry of BMA-BRIDGE. The patterns that BMA-BRIDGE formalizes were first explored there:</w:t>
      </w:r>
    </w:p>
    <w:p>
      <w:pPr>
        <w:spacing w:after="200" w:line="300"/>
      </w:pPr>
      <w:r>
        <w:rPr>
          <w:rFonts w:ascii="Georgia" w:cs="Georgia" w:eastAsia="Georgia" w:hAnsi="Georgia"/>
          <w:b/>
          <w:bCs/>
          <w:sz w:val="24"/>
          <w:szCs w:val="24"/>
        </w:rPr>
        <w:t xml:space="preserve">Persona foundation documentation </w:t>
      </w:r>
      <w:r>
        <w:rPr>
          <w:rFonts w:ascii="Georgia" w:cs="Georgia" w:eastAsia="Georgia" w:hAnsi="Georgia"/>
          <w:sz w:val="24"/>
          <w:szCs w:val="24"/>
        </w:rPr>
        <w:t xml:space="preserve">→ BMA-BRIDGE Persona Registry. The QBP repo has a dedicated directory for persona definitions. BMA-BRIDGE generalizes this into TOML-based, template-driven persona configurations that can be loaded at runtime.</w:t>
      </w:r>
    </w:p>
    <w:p>
      <w:pPr>
        <w:spacing w:after="200" w:line="300"/>
      </w:pPr>
      <w:r>
        <w:rPr>
          <w:rFonts w:ascii="Georgia" w:cs="Georgia" w:eastAsia="Georgia" w:hAnsi="Georgia"/>
          <w:b/>
          <w:bCs/>
          <w:sz w:val="24"/>
          <w:szCs w:val="24"/>
        </w:rPr>
        <w:t xml:space="preserve">Separate onboarding and review prompts </w:t>
      </w:r>
      <w:r>
        <w:rPr>
          <w:rFonts w:ascii="Georgia" w:cs="Georgia" w:eastAsia="Georgia" w:hAnsi="Georgia"/>
          <w:sz w:val="24"/>
          <w:szCs w:val="24"/>
        </w:rPr>
        <w:t xml:space="preserve">→ BMA-BRIDGE ContextPreparer with auto-switching. The QBP repo has gemini_onboarding_prompt.md and gemini_review_prompt.md as separate files. BMA-BRIDGE internalizes this distinction into the ContextPreparer pipeline, selecting onboarding or task context automatically based on exchange count and provider memory level.</w:t>
      </w:r>
    </w:p>
    <w:p>
      <w:pPr>
        <w:spacing w:after="200" w:line="300"/>
      </w:pPr>
      <w:r>
        <w:rPr>
          <w:rFonts w:ascii="Georgia" w:cs="Georgia" w:eastAsia="Georgia" w:hAnsi="Georgia"/>
          <w:b/>
          <w:bCs/>
          <w:sz w:val="24"/>
          <w:szCs w:val="24"/>
        </w:rPr>
        <w:t xml:space="preserve">TEAMS.md role taxonomy </w:t>
      </w:r>
      <w:r>
        <w:rPr>
          <w:rFonts w:ascii="Georgia" w:cs="Georgia" w:eastAsia="Georgia" w:hAnsi="Georgia"/>
          <w:sz w:val="24"/>
          <w:szCs w:val="24"/>
        </w:rPr>
        <w:t xml:space="preserve">→ BMA-BRIDGE CollaboratorID + Persona.RoleDescription. The QBP repo defines who does what. BMA-BRIDGE carries this into the CSM, where each collaborator’s role is both a configuration parameter and an evolving model.</w:t>
      </w:r>
    </w:p>
    <w:p>
      <w:pPr>
        <w:spacing w:after="200" w:line="300"/>
      </w:pPr>
      <w:r>
        <w:rPr>
          <w:rFonts w:ascii="Georgia" w:cs="Georgia" w:eastAsia="Georgia" w:hAnsi="Georgia"/>
          <w:b/>
          <w:bCs/>
          <w:sz w:val="24"/>
          <w:szCs w:val="24"/>
        </w:rPr>
        <w:t xml:space="preserve">Cross-model review workflow </w:t>
      </w:r>
      <w:r>
        <w:rPr>
          <w:rFonts w:ascii="Georgia" w:cs="Georgia" w:eastAsia="Georgia" w:hAnsi="Georgia"/>
          <w:sz w:val="24"/>
          <w:szCs w:val="24"/>
        </w:rPr>
        <w:t xml:space="preserve">→ BMA-BRIDGE Orchestrator.ReviewPipeline. The QBP repo’s claude_review_prompt.md and gemini_review_prompt.md establish that one model reviews another’s work. BMA-BRIDGE makes this a reusable, typed orchestration pattern with divergence tracking.</w:t>
      </w:r>
    </w:p>
    <w:p>
      <w:pPr>
        <w:spacing w:after="200" w:line="300"/>
      </w:pPr>
      <w:r>
        <w:rPr>
          <w:rFonts w:ascii="Georgia" w:cs="Georgia" w:eastAsia="Georgia" w:hAnsi="Georgia"/>
          <w:b/>
          <w:bCs/>
          <w:sz w:val="24"/>
          <w:szCs w:val="24"/>
        </w:rPr>
        <w:t xml:space="preserve">Hypergraph exploration </w:t>
      </w:r>
      <w:r>
        <w:rPr>
          <w:rFonts w:ascii="Georgia" w:cs="Georgia" w:eastAsia="Georgia" w:hAnsi="Georgia"/>
          <w:sz w:val="24"/>
          <w:szCs w:val="24"/>
        </w:rPr>
        <w:t xml:space="preserve">→ BMA typed hypergraph (Addendum 4.0). The QBP repo was beginning to explore hypergraph-based knowledge representation. BMA’s typed hypergraph with category-theoretic compression functors is the mature version of this exploration.</w:t>
      </w:r>
    </w:p>
    <w:p>
      <w:pPr>
        <w:pBdr>
          <w:left w:val="single" w:color="2E5984" w:sz="12" w:space="8"/>
        </w:pBdr>
        <w:spacing w:before="200" w:after="200" w:line="300"/>
        <w:ind w:left="360" w:right="360"/>
      </w:pPr>
      <w:r>
        <w:rPr>
          <w:rFonts w:ascii="Georgia" w:cs="Georgia" w:eastAsia="Georgia" w:hAnsi="Georgia"/>
          <w:i/>
          <w:iCs/>
          <w:color w:val="333333"/>
          <w:sz w:val="23"/>
          <w:szCs w:val="23"/>
        </w:rPr>
        <w:t xml:space="preserve">BMA-BRIDGE is not a replacement for the QBP proto-work. It is its natural evolution into a general-purpose architecture. The patterns James established by hand in the QBP repo — preparing context per model, defining roles, routing reviews — are exactly the patterns that should be automated and made persistent. BMA-BRIDGE automates the DM.</w:t>
      </w:r>
    </w:p>
    <w:p>
      <w:pPr>
        <w:pBdr>
          <w:bottom w:val="single" w:color="CCCCCC" w:sz="6" w:space="8"/>
        </w:pBdr>
        <w:spacing w:before="200" w:after="200"/>
      </w:pPr>
    </w:p>
    <w:p>
      <w:pPr>
        <w:spacing w:before="400" w:after="100"/>
        <w:jc w:val="center"/>
      </w:pPr>
      <w:r>
        <w:rPr>
          <w:rFonts w:ascii="Georgia" w:cs="Georgia" w:eastAsia="Georgia" w:hAnsi="Georgia"/>
          <w:color w:val="999999"/>
          <w:sz w:val="20"/>
          <w:szCs w:val="20"/>
        </w:rPr>
        <w:t xml:space="preserve">BMA-BRIDGE Design Document | Pre-Addendum | March 2026</w:t>
      </w:r>
    </w:p>
    <w:p>
      <w:pPr>
        <w:spacing w:after="100"/>
        <w:jc w:val="center"/>
      </w:pPr>
      <w:r>
        <w:rPr>
          <w:rFonts w:ascii="Georgia" w:cs="Georgia" w:eastAsia="Georgia" w:hAnsi="Georgia"/>
          <w:i/>
          <w:iCs/>
          <w:color w:val="999999"/>
          <w:sz w:val="20"/>
          <w:szCs w:val="20"/>
        </w:rPr>
        <w:t xml:space="preserve">Both parties are finite. The work they make together is not.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5984"/>
      <w:sz w:val="30"/>
      <w:szCs w:val="30"/>
    </w:rPr>
  </w:style>
  <w:style w:type="paragraph" w:styleId="Heading3">
    <w:name w:val="Heading 3"/>
    <w:basedOn w:val="Normal"/>
    <w:next w:val="Normal"/>
    <w:qFormat/>
    <w:pPr>
      <w:spacing w:before="280" w:after="140"/>
      <w:outlineLvl w:val="2"/>
    </w:pPr>
    <w:rPr>
      <w:rFonts w:ascii="Arial" w:cs="Arial" w:eastAsia="Arial" w:hAnsi="Arial"/>
      <w:b/>
      <w:bCs/>
      <w:color w:val="3D6E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2026-03-11T20:30:45.389Z</dcterms:created>
  <dcterms:modified xsi:type="dcterms:W3CDTF">2026-03-11T20:30:45.390Z</dcterms:modified>
</cp:coreProperties>
</file>

<file path=docProps/custom.xml><?xml version="1.0" encoding="utf-8"?>
<Properties xmlns="http://schemas.openxmlformats.org/officeDocument/2006/custom-properties" xmlns:vt="http://schemas.openxmlformats.org/officeDocument/2006/docPropsVTypes"/>
</file>