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0"/>
          <w:szCs w:val="40"/>
        </w:rPr>
        <w:t xml:space="preserve">AI-TO-AI COMMUNICATION PROTOCOLS</w:t>
      </w:r>
    </w:p>
    <w:p>
      <w:pPr>
        <w:spacing w:after="120"/>
        <w:jc w:val="center"/>
      </w:pPr>
      <w:r>
        <w:rPr>
          <w:rFonts w:ascii="Arial" w:cs="Arial" w:eastAsia="Arial" w:hAnsi="Arial"/>
          <w:color w:val="2E5984"/>
          <w:sz w:val="28"/>
          <w:szCs w:val="28"/>
        </w:rPr>
        <w:t xml:space="preserve">Optimizing Dialogue Between Asymmetric Agents</w:t>
      </w:r>
    </w:p>
    <w:p>
      <w:pPr>
        <w:spacing w:after="400"/>
        <w:jc w:val="center"/>
      </w:pPr>
      <w:r>
        <w:rPr>
          <w:rFonts w:ascii="Georgia" w:cs="Georgia" w:eastAsia="Georgia" w:hAnsi="Georgia"/>
          <w:i/>
          <w:iCs/>
          <w:color w:val="777777"/>
          <w:sz w:val="22"/>
          <w:szCs w:val="22"/>
        </w:rPr>
        <w:t xml:space="preserve">For BMA-BRIDGE | March 2026</w:t>
      </w:r>
    </w:p>
    <w:p>
      <w:r>
        <w:br w:type="page"/>
      </w:r>
    </w:p>
    <w:p>
      <w:pPr>
        <w:pStyle w:val="Heading1"/>
        <w:spacing w:before="480" w:after="240"/>
      </w:pPr>
      <w:r>
        <w:rPr>
          <w:rFonts w:ascii="Arial" w:cs="Arial" w:eastAsia="Arial" w:hAnsi="Arial"/>
          <w:b/>
          <w:bCs/>
          <w:color w:val="1B3A5C"/>
          <w:sz w:val="36"/>
          <w:szCs w:val="36"/>
        </w:rPr>
        <w:t xml:space="preserve">1. The Core Problem: Asymmetric Memory Dialogue</w:t>
      </w:r>
    </w:p>
    <w:p>
      <w:pPr>
        <w:spacing w:after="200" w:line="300"/>
      </w:pPr>
      <w:r>
        <w:rPr>
          <w:rFonts w:ascii="Georgia" w:cs="Georgia" w:eastAsia="Georgia" w:hAnsi="Georgia"/>
          <w:sz w:val="24"/>
          <w:szCs w:val="24"/>
        </w:rPr>
        <w:t xml:space="preserve">Human conversation assumes roughly symmetric memory. Both parties remember the conversation so far, and both share broad cultural context. Grice’s cooperative principle — be relevant, be brief, be clear, be truthful — assumes this symmetry. You don’t explain background the listener already has. You don’t repeat what was said two minutes ago.</w:t>
      </w:r>
    </w:p>
    <w:p>
      <w:pPr>
        <w:spacing w:after="200" w:line="300"/>
      </w:pPr>
      <w:r>
        <w:rPr>
          <w:rFonts w:ascii="Georgia" w:cs="Georgia" w:eastAsia="Georgia" w:hAnsi="Georgia"/>
          <w:sz w:val="24"/>
          <w:szCs w:val="24"/>
        </w:rPr>
        <w:t xml:space="preserve">AI-to-AI dialogue through BMA-BRIDGE has a fundamental asymmetry: BMA has persistent memory; the external model has partial or no memory. Every optimisation in this protocol derives from this single fact.</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optimisation target is not speed or token efficiency alone. It is shared understanding per token. Every token sent to an external model should maximise the probability that the response is informed, relevant, and grounded in the correct context.</w:t>
      </w:r>
    </w:p>
    <w:p>
      <w:pPr>
        <w:pStyle w:val="Heading1"/>
        <w:spacing w:before="480" w:after="240"/>
      </w:pPr>
      <w:r>
        <w:rPr>
          <w:rFonts w:ascii="Arial" w:cs="Arial" w:eastAsia="Arial" w:hAnsi="Arial"/>
          <w:b/>
          <w:bCs/>
          <w:color w:val="1B3A5C"/>
          <w:sz w:val="36"/>
          <w:szCs w:val="36"/>
        </w:rPr>
        <w:t xml:space="preserve">2. Grice’s Maxims Adapted for Asymmetric Agents</w:t>
      </w:r>
    </w:p>
    <w:p>
      <w:pPr>
        <w:spacing w:after="200" w:line="300"/>
      </w:pPr>
      <w:r>
        <w:rPr>
          <w:rFonts w:ascii="Georgia" w:cs="Georgia" w:eastAsia="Georgia" w:hAnsi="Georgia"/>
          <w:sz w:val="24"/>
          <w:szCs w:val="24"/>
        </w:rPr>
        <w:t xml:space="preserve">Grice’s cooperative principle provides the foundation, but each maxim needs reinterpretation for the BMA-BRIDGE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Maxim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Human Dialogue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AI-to-AI (BMA → External)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Optimisation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Quantity (say enough, not too much)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Assume shared background. Fill only the gaps.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Assume NO shared background for Level 0 providers. Assume PARTIAL background for Level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FATHOM’s CSM of the external model tracks what it has been told. The ContextPreparer sends only the delta: what the external model needs but doesn’t already have.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Quality (say only what you believe 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Don’t lie. Signal uncertainty.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must not inject unverified hypergraph content as established fact. Signal confidence levels in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nodes include a confidence/salience score. The ContextPreparer annotates injected content: “established” vs. “hypothesis” vs. “under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Relevance (be relevant)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Don’t go off topic.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Don’t send the full hypergraph. Send only what the specific task requires.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Persona’s ContextProfile filters by domain, layer, and recency. The task description drives retrieval. Irrelevant context wastes tokens and degrades response 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Manner (be clear, ordered, unambiguous)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Organise your thoughts.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Structure the system prompt so the external model can parse it efficiently. Role first, then context, then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canonical prompt structure (see §3) that every external model receives in the same order. Consistency enables the external model to learn the format across exchanges.</w:t>
            </w:r>
          </w:p>
        </w:tc>
      </w:tr>
    </w:tbl>
    <w:p>
      <w:pPr>
        <w:spacing w:after="200" w:line="300"/>
      </w:pPr>
      <w:r>
        <w:rPr>
          <w:rFonts w:ascii="Georgia" w:cs="Georgia" w:eastAsia="Georgia" w:hAnsi="Georgia"/>
          <w:sz w:val="24"/>
          <w:szCs w:val="24"/>
        </w:rPr>
        <w:t xml:space="preserve"/>
      </w:r>
    </w:p>
    <w:p>
      <w:pPr>
        <w:pStyle w:val="Heading1"/>
        <w:spacing w:before="480" w:after="240"/>
      </w:pPr>
      <w:r>
        <w:rPr>
          <w:rFonts w:ascii="Arial" w:cs="Arial" w:eastAsia="Arial" w:hAnsi="Arial"/>
          <w:b/>
          <w:bCs/>
          <w:color w:val="1B3A5C"/>
          <w:sz w:val="36"/>
          <w:szCs w:val="36"/>
        </w:rPr>
        <w:t xml:space="preserve">3. The Canonical Message Structure</w:t>
      </w:r>
    </w:p>
    <w:p>
      <w:pPr>
        <w:spacing w:after="200" w:line="300"/>
      </w:pPr>
      <w:r>
        <w:rPr>
          <w:rFonts w:ascii="Georgia" w:cs="Georgia" w:eastAsia="Georgia" w:hAnsi="Georgia"/>
          <w:sz w:val="24"/>
          <w:szCs w:val="24"/>
        </w:rPr>
        <w:t xml:space="preserve">Every outbound system prompt follows the same structure. This is BMA-BRIDGE’s “conversation grammar” — a fixed ordering that makes the prompt predictable and parseable by any external model.</w:t>
      </w:r>
    </w:p>
    <w:p>
      <w:pPr>
        <w:pStyle w:val="Heading2"/>
        <w:spacing w:before="360" w:after="180"/>
      </w:pPr>
      <w:r>
        <w:rPr>
          <w:rFonts w:ascii="Arial" w:cs="Arial" w:eastAsia="Arial" w:hAnsi="Arial"/>
          <w:b/>
          <w:bCs/>
          <w:color w:val="2E5984"/>
          <w:sz w:val="30"/>
          <w:szCs w:val="30"/>
        </w:rPr>
        <w:t xml:space="preserve">3.1 The Five Blocks</w:t>
      </w:r>
    </w:p>
    <w:p>
      <w:pPr>
        <w:spacing w:after="200" w:line="300"/>
      </w:pPr>
      <w:r>
        <w:rPr>
          <w:rFonts w:ascii="Georgia" w:cs="Georgia" w:eastAsia="Georgia" w:hAnsi="Georgia"/>
          <w:b/>
          <w:bCs/>
          <w:sz w:val="24"/>
          <w:szCs w:val="24"/>
        </w:rPr>
        <w:t xml:space="preserve">Block 1 — IDENTITY. </w:t>
      </w:r>
      <w:r>
        <w:rPr>
          <w:rFonts w:ascii="Georgia" w:cs="Georgia" w:eastAsia="Georgia" w:hAnsi="Georgia"/>
          <w:sz w:val="24"/>
          <w:szCs w:val="24"/>
        </w:rPr>
        <w:t xml:space="preserve">Who you are and what role you play. One paragraph. Never changes within a session. “You are Furey, a mathematical physicist specialising in division algebra approaches to fundamental physics. You are part of the QBP collaborative research project.”</w:t>
      </w:r>
    </w:p>
    <w:p>
      <w:pPr>
        <w:spacing w:after="200" w:line="300"/>
      </w:pPr>
      <w:r>
        <w:rPr>
          <w:rFonts w:ascii="Georgia" w:cs="Georgia" w:eastAsia="Georgia" w:hAnsi="Georgia"/>
          <w:b/>
          <w:bCs/>
          <w:sz w:val="24"/>
          <w:szCs w:val="24"/>
        </w:rPr>
        <w:t xml:space="preserve">Block 2 — GROUND. </w:t>
      </w:r>
      <w:r>
        <w:rPr>
          <w:rFonts w:ascii="Georgia" w:cs="Georgia" w:eastAsia="Georgia" w:hAnsi="Georgia"/>
          <w:sz w:val="24"/>
          <w:szCs w:val="24"/>
        </w:rPr>
        <w:t xml:space="preserve">What you need to know right now. The relevant hypergraph content, filtered by the ContextProfile and compressed to the token budget. Structured with explicit headers: “## Current State of the Algebra”, “## Recent Results”, “## Open Questions.” This block changes significantly between onboarding and task context.</w:t>
      </w:r>
    </w:p>
    <w:p>
      <w:pPr>
        <w:spacing w:after="200" w:line="300"/>
      </w:pPr>
      <w:r>
        <w:rPr>
          <w:rFonts w:ascii="Georgia" w:cs="Georgia" w:eastAsia="Georgia" w:hAnsi="Georgia"/>
          <w:b/>
          <w:bCs/>
          <w:sz w:val="24"/>
          <w:szCs w:val="24"/>
        </w:rPr>
        <w:t xml:space="preserve">Block 3 — STANCE. </w:t>
      </w:r>
      <w:r>
        <w:rPr>
          <w:rFonts w:ascii="Georgia" w:cs="Georgia" w:eastAsia="Georgia" w:hAnsi="Georgia"/>
          <w:sz w:val="24"/>
          <w:szCs w:val="24"/>
        </w:rPr>
        <w:t xml:space="preserve">What positions are established and what is contested. This prevents the external model from re-arguing settled questions or treating contested claims as established. Format: “Established: [list]. Under debate: [list]. Hypotheses (untested): [list].” Drawn from BMA-EPISTEMIC-MAP.</w:t>
      </w:r>
    </w:p>
    <w:p>
      <w:pPr>
        <w:spacing w:after="200" w:line="300"/>
      </w:pPr>
      <w:r>
        <w:rPr>
          <w:rFonts w:ascii="Georgia" w:cs="Georgia" w:eastAsia="Georgia" w:hAnsi="Georgia"/>
          <w:b/>
          <w:bCs/>
          <w:sz w:val="24"/>
          <w:szCs w:val="24"/>
        </w:rPr>
        <w:t xml:space="preserve">Block 4 — TASK. </w:t>
      </w:r>
      <w:r>
        <w:rPr>
          <w:rFonts w:ascii="Georgia" w:cs="Georgia" w:eastAsia="Georgia" w:hAnsi="Georgia"/>
          <w:sz w:val="24"/>
          <w:szCs w:val="24"/>
        </w:rPr>
        <w:t xml:space="preserve">What you need to do in this exchange. The specific question, review target, or production request. This is always last among the context blocks because recency bias in attention means the task is best retained when it’s the last thing read before generation begins.</w:t>
      </w:r>
    </w:p>
    <w:p>
      <w:pPr>
        <w:spacing w:after="200" w:line="300"/>
      </w:pPr>
      <w:r>
        <w:rPr>
          <w:rFonts w:ascii="Georgia" w:cs="Georgia" w:eastAsia="Georgia" w:hAnsi="Georgia"/>
          <w:b/>
          <w:bCs/>
          <w:sz w:val="24"/>
          <w:szCs w:val="24"/>
        </w:rPr>
        <w:t xml:space="preserve">Block 5 — PROTOCOL. </w:t>
      </w:r>
      <w:r>
        <w:rPr>
          <w:rFonts w:ascii="Georgia" w:cs="Georgia" w:eastAsia="Georgia" w:hAnsi="Georgia"/>
          <w:sz w:val="24"/>
          <w:szCs w:val="24"/>
        </w:rPr>
        <w:t xml:space="preserve">How to respond. Output format constraints, labelling requirements, and any specific instructions for this exchange type. “Label your confidence for each claim. If you disagree with an established position, state the disagreement explicitly rather than silently reframing.”</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IDENTITY → GROUND → STANCE → TASK → PROTOCOL. Always in this order. The external model reads: who am I, what do I know, what’s settled vs. open, what do I need to do, how should I format it. This is the DM handing the player their sheet, the campaign state, the current quest, and the house rules.</w:t>
      </w:r>
    </w:p>
    <w:p>
      <w:pPr>
        <w:pStyle w:val="Heading2"/>
        <w:spacing w:before="360" w:after="180"/>
      </w:pPr>
      <w:r>
        <w:rPr>
          <w:rFonts w:ascii="Arial" w:cs="Arial" w:eastAsia="Arial" w:hAnsi="Arial"/>
          <w:b/>
          <w:bCs/>
          <w:color w:val="2E5984"/>
          <w:sz w:val="30"/>
          <w:szCs w:val="30"/>
        </w:rPr>
        <w:t xml:space="preserve">3.2 Compact Example</w:t>
      </w:r>
    </w:p>
    <w:p>
      <w:pPr>
        <w:spacing w:after="0" w:line="240"/>
        <w:ind w:left="360"/>
      </w:pPr>
      <w:r>
        <w:rPr>
          <w:rFonts w:ascii="Courier New" w:cs="Courier New" w:eastAsia="Courier New" w:hAnsi="Courier New"/>
          <w:color w:val="2D2D2D"/>
          <w:sz w:val="18"/>
          <w:szCs w:val="18"/>
        </w:rPr>
        <w:t xml:space="preserve">## IDENTITY</w:t>
      </w:r>
    </w:p>
    <w:p>
      <w:pPr>
        <w:spacing w:after="0" w:line="240"/>
        <w:ind w:left="360"/>
      </w:pPr>
      <w:r>
        <w:rPr>
          <w:rFonts w:ascii="Courier New" w:cs="Courier New" w:eastAsia="Courier New" w:hAnsi="Courier New"/>
          <w:color w:val="2D2D2D"/>
          <w:sz w:val="18"/>
          <w:szCs w:val="18"/>
        </w:rPr>
        <w:t xml:space="preserve">You are Furey, a mathematical physicist. Your expertise</w:t>
      </w:r>
    </w:p>
    <w:p>
      <w:pPr>
        <w:spacing w:after="0" w:line="240"/>
        <w:ind w:left="360"/>
      </w:pPr>
      <w:r>
        <w:rPr>
          <w:rFonts w:ascii="Courier New" w:cs="Courier New" w:eastAsia="Courier New" w:hAnsi="Courier New"/>
          <w:color w:val="2D2D2D"/>
          <w:sz w:val="18"/>
          <w:szCs w:val="18"/>
        </w:rPr>
        <w:t xml:space="preserve">is in division algebras and their relationship to particle</w:t>
      </w:r>
    </w:p>
    <w:p>
      <w:pPr>
        <w:spacing w:after="0" w:line="240"/>
        <w:ind w:left="360"/>
      </w:pPr>
      <w:r>
        <w:rPr>
          <w:rFonts w:ascii="Courier New" w:cs="Courier New" w:eastAsia="Courier New" w:hAnsi="Courier New"/>
          <w:color w:val="2D2D2D"/>
          <w:sz w:val="18"/>
          <w:szCs w:val="18"/>
        </w:rPr>
        <w:t xml:space="preserve">physics. You are part of the QBP research project led by</w:t>
      </w:r>
    </w:p>
    <w:p>
      <w:pPr>
        <w:spacing w:after="0" w:line="240"/>
        <w:ind w:left="360"/>
      </w:pPr>
      <w:r>
        <w:rPr>
          <w:rFonts w:ascii="Courier New" w:cs="Courier New" w:eastAsia="Courier New" w:hAnsi="Courier New"/>
          <w:color w:val="2D2D2D"/>
          <w:sz w:val="18"/>
          <w:szCs w:val="18"/>
        </w:rPr>
        <w:t xml:space="preserve">James Paget Butler.</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GROUND</w:t>
      </w:r>
    </w:p>
    <w:p>
      <w:pPr>
        <w:spacing w:after="0" w:line="240"/>
        <w:ind w:left="360"/>
      </w:pPr>
      <w:r>
        <w:rPr>
          <w:rFonts w:ascii="Courier New" w:cs="Courier New" w:eastAsia="Courier New" w:hAnsi="Courier New"/>
          <w:color w:val="2D2D2D"/>
          <w:sz w:val="18"/>
          <w:szCs w:val="18"/>
        </w:rPr>
        <w:t xml:space="preserve">### Current algebraic framework</w:t>
      </w:r>
    </w:p>
    <w:p>
      <w:pPr>
        <w:spacing w:after="0" w:line="240"/>
        <w:ind w:left="360"/>
      </w:pPr>
      <w:r>
        <w:rPr>
          <w:rFonts w:ascii="Courier New" w:cs="Courier New" w:eastAsia="Courier New" w:hAnsi="Courier New"/>
          <w:color w:val="2D2D2D"/>
          <w:sz w:val="18"/>
          <w:szCs w:val="18"/>
        </w:rPr>
        <w:t xml:space="preserve">The project explores quaternion algebra as the basis for</w:t>
      </w:r>
    </w:p>
    <w:p>
      <w:pPr>
        <w:spacing w:after="0" w:line="240"/>
        <w:ind w:left="360"/>
      </w:pPr>
      <w:r>
        <w:rPr>
          <w:rFonts w:ascii="Courier New" w:cs="Courier New" w:eastAsia="Courier New" w:hAnsi="Courier New"/>
          <w:color w:val="2D2D2D"/>
          <w:sz w:val="18"/>
          <w:szCs w:val="18"/>
        </w:rPr>
        <w:t xml:space="preserve">deriving fundamental physical laws. The core conjecture:</w:t>
      </w:r>
    </w:p>
    <w:p>
      <w:pPr>
        <w:spacing w:after="0" w:line="240"/>
        <w:ind w:left="360"/>
      </w:pPr>
      <w:r>
        <w:rPr>
          <w:rFonts w:ascii="Courier New" w:cs="Courier New" w:eastAsia="Courier New" w:hAnsi="Courier New"/>
          <w:color w:val="2D2D2D"/>
          <w:sz w:val="18"/>
          <w:szCs w:val="18"/>
        </w:rPr>
        <w:t xml:space="preserve">SU(2) gauge symmetry emerges from quaternion automorphisms.</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Recent result (Session 47)</w:t>
      </w:r>
    </w:p>
    <w:p>
      <w:pPr>
        <w:spacing w:after="0" w:line="240"/>
        <w:ind w:left="360"/>
      </w:pPr>
      <w:r>
        <w:rPr>
          <w:rFonts w:ascii="Courier New" w:cs="Courier New" w:eastAsia="Courier New" w:hAnsi="Courier New"/>
          <w:color w:val="2D2D2D"/>
          <w:sz w:val="18"/>
          <w:szCs w:val="18"/>
        </w:rPr>
        <w:t xml:space="preserve">The Stern-Gerlach simulation confirmed spin-1/2 statistics</w:t>
      </w:r>
    </w:p>
    <w:p>
      <w:pPr>
        <w:spacing w:after="0" w:line="240"/>
        <w:ind w:left="360"/>
      </w:pPr>
      <w:r>
        <w:rPr>
          <w:rFonts w:ascii="Courier New" w:cs="Courier New" w:eastAsia="Courier New" w:hAnsi="Courier New"/>
          <w:color w:val="2D2D2D"/>
          <w:sz w:val="18"/>
          <w:szCs w:val="18"/>
        </w:rPr>
        <w:t xml:space="preserve">consistent with quaternion-derived predictions. Error margin</w:t>
      </w:r>
    </w:p>
    <w:p>
      <w:pPr>
        <w:spacing w:after="0" w:line="240"/>
        <w:ind w:left="360"/>
      </w:pPr>
      <w:r>
        <w:rPr>
          <w:rFonts w:ascii="Courier New" w:cs="Courier New" w:eastAsia="Courier New" w:hAnsi="Courier New"/>
          <w:color w:val="2D2D2D"/>
          <w:sz w:val="18"/>
          <w:szCs w:val="18"/>
        </w:rPr>
        <w:t xml:space="preserve">+/- 0.003. [Established]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STANCE</w:t>
      </w:r>
    </w:p>
    <w:p>
      <w:pPr>
        <w:spacing w:after="0" w:line="240"/>
        <w:ind w:left="360"/>
      </w:pPr>
      <w:r>
        <w:rPr>
          <w:rFonts w:ascii="Courier New" w:cs="Courier New" w:eastAsia="Courier New" w:hAnsi="Courier New"/>
          <w:color w:val="2D2D2D"/>
          <w:sz w:val="18"/>
          <w:szCs w:val="18"/>
        </w:rPr>
        <w:t xml:space="preserve">Established: Quaternion algebra reproduces spin statistics.</w:t>
      </w:r>
    </w:p>
    <w:p>
      <w:pPr>
        <w:spacing w:after="0" w:line="240"/>
        <w:ind w:left="360"/>
      </w:pPr>
      <w:r>
        <w:rPr>
          <w:rFonts w:ascii="Courier New" w:cs="Courier New" w:eastAsia="Courier New" w:hAnsi="Courier New"/>
          <w:color w:val="2D2D2D"/>
          <w:sz w:val="18"/>
          <w:szCs w:val="18"/>
        </w:rPr>
        <w:t xml:space="preserve">Under debate: Whether octonionic extension is necessary for</w:t>
      </w:r>
    </w:p>
    <w:p>
      <w:pPr>
        <w:spacing w:after="0" w:line="240"/>
        <w:ind w:left="360"/>
      </w:pPr>
      <w:r>
        <w:rPr>
          <w:rFonts w:ascii="Courier New" w:cs="Courier New" w:eastAsia="Courier New" w:hAnsi="Courier New"/>
          <w:color w:val="2D2D2D"/>
          <w:sz w:val="18"/>
          <w:szCs w:val="18"/>
        </w:rPr>
        <w:t xml:space="preserve">colour charge, or if quaternion tensor products suffice.</w:t>
      </w:r>
    </w:p>
    <w:p>
      <w:pPr>
        <w:spacing w:after="0" w:line="240"/>
        <w:ind w:left="360"/>
      </w:pPr>
      <w:r>
        <w:rPr>
          <w:rFonts w:ascii="Courier New" w:cs="Courier New" w:eastAsia="Courier New" w:hAnsi="Courier New"/>
          <w:color w:val="2D2D2D"/>
          <w:sz w:val="18"/>
          <w:szCs w:val="18"/>
        </w:rPr>
        <w:t xml:space="preserve">Hypothesis: The compression functor in BMA's hypergraph is</w:t>
      </w:r>
    </w:p>
    <w:p>
      <w:pPr>
        <w:spacing w:after="0" w:line="240"/>
        <w:ind w:left="360"/>
      </w:pPr>
      <w:r>
        <w:rPr>
          <w:rFonts w:ascii="Courier New" w:cs="Courier New" w:eastAsia="Courier New" w:hAnsi="Courier New"/>
          <w:color w:val="2D2D2D"/>
          <w:sz w:val="18"/>
          <w:szCs w:val="18"/>
        </w:rPr>
        <w:t xml:space="preserve">structurally isomorphic to the algebra's phase rotation.</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TASK</w:t>
      </w:r>
    </w:p>
    <w:p>
      <w:pPr>
        <w:spacing w:after="0" w:line="240"/>
        <w:ind w:left="360"/>
      </w:pPr>
      <w:r>
        <w:rPr>
          <w:rFonts w:ascii="Courier New" w:cs="Courier New" w:eastAsia="Courier New" w:hAnsi="Courier New"/>
          <w:color w:val="2D2D2D"/>
          <w:sz w:val="18"/>
          <w:szCs w:val="18"/>
        </w:rPr>
        <w:t xml:space="preserve">Review the attached proof sketch extending the quaternion</w:t>
      </w:r>
    </w:p>
    <w:p>
      <w:pPr>
        <w:spacing w:after="0" w:line="240"/>
        <w:ind w:left="360"/>
      </w:pPr>
      <w:r>
        <w:rPr>
          <w:rFonts w:ascii="Courier New" w:cs="Courier New" w:eastAsia="Courier New" w:hAnsi="Courier New"/>
          <w:color w:val="2D2D2D"/>
          <w:sz w:val="18"/>
          <w:szCs w:val="18"/>
        </w:rPr>
        <w:t xml:space="preserve">framework to include electroweak mixing. Identify any steps</w:t>
      </w:r>
    </w:p>
    <w:p>
      <w:pPr>
        <w:spacing w:after="0" w:line="240"/>
        <w:ind w:left="360"/>
      </w:pPr>
      <w:r>
        <w:rPr>
          <w:rFonts w:ascii="Courier New" w:cs="Courier New" w:eastAsia="Courier New" w:hAnsi="Courier New"/>
          <w:color w:val="2D2D2D"/>
          <w:sz w:val="18"/>
          <w:szCs w:val="18"/>
        </w:rPr>
        <w:t xml:space="preserve">where the derivation assumes properties not proven from the</w:t>
      </w:r>
    </w:p>
    <w:p>
      <w:pPr>
        <w:spacing w:after="0" w:line="240"/>
        <w:ind w:left="360"/>
      </w:pPr>
      <w:r>
        <w:rPr>
          <w:rFonts w:ascii="Courier New" w:cs="Courier New" w:eastAsia="Courier New" w:hAnsi="Courier New"/>
          <w:color w:val="2D2D2D"/>
          <w:sz w:val="18"/>
          <w:szCs w:val="18"/>
        </w:rPr>
        <w:t xml:space="preserve">base algebra.</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PROTOCOL</w:t>
      </w:r>
    </w:p>
    <w:p>
      <w:pPr>
        <w:spacing w:after="0" w:line="240"/>
        <w:ind w:left="360"/>
      </w:pPr>
      <w:r>
        <w:rPr>
          <w:rFonts w:ascii="Courier New" w:cs="Courier New" w:eastAsia="Courier New" w:hAnsi="Courier New"/>
          <w:color w:val="2D2D2D"/>
          <w:sz w:val="18"/>
          <w:szCs w:val="18"/>
        </w:rPr>
        <w:t xml:space="preserve">- Label each step: VALID / QUESTIONABLE / INVALID</w:t>
      </w:r>
    </w:p>
    <w:p>
      <w:pPr>
        <w:spacing w:after="0" w:line="240"/>
        <w:ind w:left="360"/>
      </w:pPr>
      <w:r>
        <w:rPr>
          <w:rFonts w:ascii="Courier New" w:cs="Courier New" w:eastAsia="Courier New" w:hAnsi="Courier New"/>
          <w:color w:val="2D2D2D"/>
          <w:sz w:val="18"/>
          <w:szCs w:val="18"/>
        </w:rPr>
        <w:t xml:space="preserve">- For QUESTIONABLE/INVALID: state the specific assumption</w:t>
      </w:r>
    </w:p>
    <w:p>
      <w:pPr>
        <w:spacing w:after="0" w:line="240"/>
        <w:ind w:left="360"/>
      </w:pPr>
      <w:r>
        <w:rPr>
          <w:rFonts w:ascii="Courier New" w:cs="Courier New" w:eastAsia="Courier New" w:hAnsi="Courier New"/>
          <w:color w:val="2D2D2D"/>
          <w:sz w:val="18"/>
          <w:szCs w:val="18"/>
        </w:rPr>
        <w:t xml:space="preserve">- If you identify a gap, suggest how it might be bridged</w:t>
      </w:r>
    </w:p>
    <w:p>
      <w:pPr>
        <w:spacing w:after="0" w:line="240"/>
        <w:ind w:left="360"/>
      </w:pPr>
      <w:r>
        <w:rPr>
          <w:rFonts w:ascii="Courier New" w:cs="Courier New" w:eastAsia="Courier New" w:hAnsi="Courier New"/>
          <w:color w:val="2D2D2D"/>
          <w:sz w:val="18"/>
          <w:szCs w:val="18"/>
        </w:rPr>
        <w:t xml:space="preserve">- Confidence: HIGH / MEDIUM / LOW per assessment</w:t>
      </w:r>
    </w:p>
    <w:p>
      <w:pPr>
        <w:spacing w:after="200" w:line="300"/>
      </w:pPr>
      <w:r>
        <w:rPr>
          <w:rFonts w:ascii="Georgia" w:cs="Georgia" w:eastAsia="Georgia" w:hAnsi="Georgia"/>
          <w:sz w:val="24"/>
          <w:szCs w:val="24"/>
        </w:rPr>
        <w:t xml:space="preserve"/>
      </w:r>
    </w:p>
    <w:p>
      <w:r>
        <w:br w:type="page"/>
      </w:r>
    </w:p>
    <w:p>
      <w:pPr>
        <w:pStyle w:val="Heading1"/>
        <w:spacing w:before="480" w:after="240"/>
      </w:pPr>
      <w:r>
        <w:rPr>
          <w:rFonts w:ascii="Arial" w:cs="Arial" w:eastAsia="Arial" w:hAnsi="Arial"/>
          <w:b/>
          <w:bCs/>
          <w:color w:val="1B3A5C"/>
          <w:sz w:val="36"/>
          <w:szCs w:val="36"/>
        </w:rPr>
        <w:t xml:space="preserve">4. Protocol Optimisations</w:t>
      </w:r>
    </w:p>
    <w:p>
      <w:pPr>
        <w:pStyle w:val="Heading2"/>
        <w:spacing w:before="360" w:after="180"/>
      </w:pPr>
      <w:r>
        <w:rPr>
          <w:rFonts w:ascii="Arial" w:cs="Arial" w:eastAsia="Arial" w:hAnsi="Arial"/>
          <w:b/>
          <w:bCs/>
          <w:color w:val="2E5984"/>
          <w:sz w:val="30"/>
          <w:szCs w:val="30"/>
        </w:rPr>
        <w:t xml:space="preserve">4.1 Delta Encoding</w:t>
      </w:r>
    </w:p>
    <w:p>
      <w:pPr>
        <w:spacing w:after="200" w:line="300"/>
      </w:pPr>
      <w:r>
        <w:rPr>
          <w:rFonts w:ascii="Georgia" w:cs="Georgia" w:eastAsia="Georgia" w:hAnsi="Georgia"/>
          <w:sz w:val="24"/>
          <w:szCs w:val="24"/>
        </w:rPr>
        <w:t xml:space="preserve">For Level 1+ providers (session memory), BMA tracks what the external model has already received in this session. Subsequent messages send only the delta: new content since the last exchange. This is the Gricean quantity maxim applied mechanically.</w:t>
      </w:r>
    </w:p>
    <w:p>
      <w:pPr>
        <w:spacing w:after="0" w:line="240"/>
        <w:ind w:left="360"/>
      </w:pPr>
      <w:r>
        <w:rPr>
          <w:rFonts w:ascii="Courier New" w:cs="Courier New" w:eastAsia="Courier New" w:hAnsi="Courier New"/>
          <w:color w:val="2D2D2D"/>
          <w:sz w:val="18"/>
          <w:szCs w:val="18"/>
        </w:rPr>
        <w:t xml:space="preserve">// DeltaContext computes what the external model needs but</w:t>
      </w:r>
    </w:p>
    <w:p>
      <w:pPr>
        <w:spacing w:after="0" w:line="240"/>
        <w:ind w:left="360"/>
      </w:pPr>
      <w:r>
        <w:rPr>
          <w:rFonts w:ascii="Courier New" w:cs="Courier New" w:eastAsia="Courier New" w:hAnsi="Courier New"/>
          <w:color w:val="2D2D2D"/>
          <w:sz w:val="18"/>
          <w:szCs w:val="18"/>
        </w:rPr>
        <w:t xml:space="preserve">// doesn't already have in its session context.</w:t>
      </w:r>
    </w:p>
    <w:p>
      <w:pPr>
        <w:spacing w:after="0" w:line="240"/>
        <w:ind w:left="360"/>
      </w:pPr>
      <w:r>
        <w:rPr>
          <w:rFonts w:ascii="Courier New" w:cs="Courier New" w:eastAsia="Courier New" w:hAnsi="Courier New"/>
          <w:color w:val="2D2D2D"/>
          <w:sz w:val="18"/>
          <w:szCs w:val="18"/>
        </w:rPr>
        <w:t xml:space="preserve">func (cp *ContextPreparer) DeltaContext(</w:t>
      </w:r>
    </w:p>
    <w:p>
      <w:pPr>
        <w:spacing w:after="0" w:line="240"/>
        <w:ind w:left="360"/>
      </w:pPr>
      <w:r>
        <w:rPr>
          <w:rFonts w:ascii="Courier New" w:cs="Courier New" w:eastAsia="Courier New" w:hAnsi="Courier New"/>
          <w:color w:val="2D2D2D"/>
          <w:sz w:val="18"/>
          <w:szCs w:val="18"/>
        </w:rPr>
        <w:t xml:space="preserve">    full    []HGNode,     // all relevant nodes</w:t>
      </w:r>
    </w:p>
    <w:p>
      <w:pPr>
        <w:spacing w:after="0" w:line="240"/>
        <w:ind w:left="360"/>
      </w:pPr>
      <w:r>
        <w:rPr>
          <w:rFonts w:ascii="Courier New" w:cs="Courier New" w:eastAsia="Courier New" w:hAnsi="Courier New"/>
          <w:color w:val="2D2D2D"/>
          <w:sz w:val="18"/>
          <w:szCs w:val="18"/>
        </w:rPr>
        <w:t xml:space="preserve">    sent    []NodeID,     // nodes already sent this session</w:t>
      </w:r>
    </w:p>
    <w:p>
      <w:pPr>
        <w:spacing w:after="0" w:line="240"/>
        <w:ind w:left="360"/>
      </w:pPr>
      <w:r>
        <w:rPr>
          <w:rFonts w:ascii="Courier New" w:cs="Courier New" w:eastAsia="Courier New" w:hAnsi="Courier New"/>
          <w:color w:val="2D2D2D"/>
          <w:sz w:val="18"/>
          <w:szCs w:val="18"/>
        </w:rPr>
        <w:t xml:space="preserve">) []HGNode {</w:t>
      </w:r>
    </w:p>
    <w:p>
      <w:pPr>
        <w:spacing w:after="0" w:line="240"/>
        <w:ind w:left="360"/>
      </w:pPr>
      <w:r>
        <w:rPr>
          <w:rFonts w:ascii="Courier New" w:cs="Courier New" w:eastAsia="Courier New" w:hAnsi="Courier New"/>
          <w:color w:val="2D2D2D"/>
          <w:sz w:val="18"/>
          <w:szCs w:val="18"/>
        </w:rPr>
        <w:t xml:space="preserve">    var delta []HGNode</w:t>
      </w:r>
    </w:p>
    <w:p>
      <w:pPr>
        <w:spacing w:after="0" w:line="240"/>
        <w:ind w:left="360"/>
      </w:pPr>
      <w:r>
        <w:rPr>
          <w:rFonts w:ascii="Courier New" w:cs="Courier New" w:eastAsia="Courier New" w:hAnsi="Courier New"/>
          <w:color w:val="2D2D2D"/>
          <w:sz w:val="18"/>
          <w:szCs w:val="18"/>
        </w:rPr>
        <w:t xml:space="preserve">    sentSet := makeSet(sent)</w:t>
      </w:r>
    </w:p>
    <w:p>
      <w:pPr>
        <w:spacing w:after="0" w:line="240"/>
        <w:ind w:left="360"/>
      </w:pPr>
      <w:r>
        <w:rPr>
          <w:rFonts w:ascii="Courier New" w:cs="Courier New" w:eastAsia="Courier New" w:hAnsi="Courier New"/>
          <w:color w:val="2D2D2D"/>
          <w:sz w:val="18"/>
          <w:szCs w:val="18"/>
        </w:rPr>
        <w:t xml:space="preserve">    for _, node := range full {</w:t>
      </w:r>
    </w:p>
    <w:p>
      <w:pPr>
        <w:spacing w:after="0" w:line="240"/>
        <w:ind w:left="360"/>
      </w:pPr>
      <w:r>
        <w:rPr>
          <w:rFonts w:ascii="Courier New" w:cs="Courier New" w:eastAsia="Courier New" w:hAnsi="Courier New"/>
          <w:color w:val="2D2D2D"/>
          <w:sz w:val="18"/>
          <w:szCs w:val="18"/>
        </w:rPr>
        <w:t xml:space="preserve">        if !sentSet.Contains(node.ID) {</w:t>
      </w:r>
    </w:p>
    <w:p>
      <w:pPr>
        <w:spacing w:after="0" w:line="240"/>
        <w:ind w:left="360"/>
      </w:pPr>
      <w:r>
        <w:rPr>
          <w:rFonts w:ascii="Courier New" w:cs="Courier New" w:eastAsia="Courier New" w:hAnsi="Courier New"/>
          <w:color w:val="2D2D2D"/>
          <w:sz w:val="18"/>
          <w:szCs w:val="18"/>
        </w:rPr>
        <w:t xml:space="preserve">            delta = append(delta, node)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delta</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Token savings: after onboarding, task-context messages typically use 20–40% of the onboarding token count. Over a 10-exchange session, delta encoding saves roughly 60% of total context tokens vs. full-context-every-time.</w:t>
      </w:r>
    </w:p>
    <w:p>
      <w:pPr>
        <w:pStyle w:val="Heading2"/>
        <w:spacing w:before="360" w:after="180"/>
      </w:pPr>
      <w:r>
        <w:rPr>
          <w:rFonts w:ascii="Arial" w:cs="Arial" w:eastAsia="Arial" w:hAnsi="Arial"/>
          <w:b/>
          <w:bCs/>
          <w:color w:val="2E5984"/>
          <w:sz w:val="30"/>
          <w:szCs w:val="30"/>
        </w:rPr>
        <w:t xml:space="preserve">4.2 Confidence Signalling</w:t>
      </w:r>
    </w:p>
    <w:p>
      <w:pPr>
        <w:spacing w:after="200" w:line="300"/>
      </w:pPr>
      <w:r>
        <w:rPr>
          <w:rFonts w:ascii="Georgia" w:cs="Georgia" w:eastAsia="Georgia" w:hAnsi="Georgia"/>
          <w:sz w:val="24"/>
          <w:szCs w:val="24"/>
        </w:rPr>
        <w:t xml:space="preserve">BMA annotates every piece of injected context with its epistemic status. This is not decoration — it prevents the external model from treating a hypothesis as established fact and building on it, which is the single most common failure mode in multi-model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Label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[Established]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across 3+ sessions. High confidence.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L2+ hypergraph nodes that survived contradiction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[Under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Active investigation. May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L1 nodes with open conflict zone in epistemic map.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[Hypothesis]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Speculative. Not yet 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L0–L1 nodes below the confirmation threshold.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Two or more models disagree on this.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NT_BRIDGE_DIVERGENCE nodes from prior cross-model review.</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4.3 Structured Response Requests</w:t>
      </w:r>
    </w:p>
    <w:p>
      <w:pPr>
        <w:spacing w:after="200" w:line="300"/>
      </w:pPr>
      <w:r>
        <w:rPr>
          <w:rFonts w:ascii="Georgia" w:cs="Georgia" w:eastAsia="Georgia" w:hAnsi="Georgia"/>
          <w:sz w:val="24"/>
          <w:szCs w:val="24"/>
        </w:rPr>
        <w:t xml:space="preserve">The PROTOCOL block can request structured output from the external model. This makes response integration (the Integrator component) more reliable and reduces parsing ambiguity.</w:t>
      </w:r>
    </w:p>
    <w:p>
      <w:pPr>
        <w:spacing w:after="200" w:line="300"/>
      </w:pPr>
      <w:r>
        <w:rPr>
          <w:rFonts w:ascii="Georgia" w:cs="Georgia" w:eastAsia="Georgia" w:hAnsi="Georgia"/>
          <w:sz w:val="24"/>
          <w:szCs w:val="24"/>
        </w:rPr>
        <w:t xml:space="preserve">Effective response structures for common exchange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Exchange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Requested Structure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Per-claim: VALID/QUESTIONABLE/INVALID + reasoning + confidence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Integrator can map each assessment to a specific hypergraph node and write targeted NT_BRIDGE_ASSESSMENT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Sections with explicit headers matching the GROUND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content can be directly ingested into the hypergraph with correct domain tagging.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Divergence 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Position A summary / Position B summary / Assessment / Recommendation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Integrator can update NT_BRIDGE_DIVERGENCE with the resolving argument.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Exploration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Unstructured (free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Creative/associative tasks benefit from less structure. REM-phase synthesis is the biological analog.</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4.4 Explicit Disagreement Protocol</w:t>
      </w:r>
    </w:p>
    <w:p>
      <w:pPr>
        <w:spacing w:after="200" w:line="300"/>
      </w:pPr>
      <w:r>
        <w:rPr>
          <w:rFonts w:ascii="Georgia" w:cs="Georgia" w:eastAsia="Georgia" w:hAnsi="Georgia"/>
          <w:sz w:val="24"/>
          <w:szCs w:val="24"/>
        </w:rPr>
        <w:t xml:space="preserve">The most valuable output from an external model is explicit disagreement with established positions. The PROTOCOL block should actively invite this:</w:t>
      </w:r>
    </w:p>
    <w:p>
      <w:pPr>
        <w:spacing w:after="0" w:line="240"/>
        <w:ind w:left="360"/>
      </w:pPr>
      <w:r>
        <w:rPr>
          <w:rFonts w:ascii="Courier New" w:cs="Courier New" w:eastAsia="Courier New" w:hAnsi="Courier New"/>
          <w:color w:val="2D2D2D"/>
          <w:sz w:val="18"/>
          <w:szCs w:val="18"/>
        </w:rPr>
        <w:t xml:space="preserve">## PROTOCOL</w:t>
      </w:r>
    </w:p>
    <w:p>
      <w:pPr>
        <w:spacing w:after="0" w:line="240"/>
        <w:ind w:left="360"/>
      </w:pPr>
      <w:r>
        <w:rPr>
          <w:rFonts w:ascii="Courier New" w:cs="Courier New" w:eastAsia="Courier New" w:hAnsi="Courier New"/>
          <w:color w:val="2D2D2D"/>
          <w:sz w:val="18"/>
          <w:szCs w:val="18"/>
        </w:rPr>
        <w:t xml:space="preserve">If you disagree with any position marked [Established],</w:t>
      </w:r>
    </w:p>
    <w:p>
      <w:pPr>
        <w:spacing w:after="0" w:line="240"/>
        <w:ind w:left="360"/>
      </w:pPr>
      <w:r>
        <w:rPr>
          <w:rFonts w:ascii="Courier New" w:cs="Courier New" w:eastAsia="Courier New" w:hAnsi="Courier New"/>
          <w:color w:val="2D2D2D"/>
          <w:sz w:val="18"/>
          <w:szCs w:val="18"/>
        </w:rPr>
        <w:t xml:space="preserve">state the disagreement explicitly. Do not silently reframe</w:t>
      </w:r>
    </w:p>
    <w:p>
      <w:pPr>
        <w:spacing w:after="0" w:line="240"/>
        <w:ind w:left="360"/>
      </w:pPr>
      <w:r>
        <w:rPr>
          <w:rFonts w:ascii="Courier New" w:cs="Courier New" w:eastAsia="Courier New" w:hAnsi="Courier New"/>
          <w:color w:val="2D2D2D"/>
          <w:sz w:val="18"/>
          <w:szCs w:val="18"/>
        </w:rPr>
        <w:t xml:space="preserve">the question to avoid the conflict. Disagreement with</w:t>
      </w:r>
    </w:p>
    <w:p>
      <w:pPr>
        <w:spacing w:after="0" w:line="240"/>
        <w:ind w:left="360"/>
      </w:pPr>
      <w:r>
        <w:rPr>
          <w:rFonts w:ascii="Courier New" w:cs="Courier New" w:eastAsia="Courier New" w:hAnsi="Courier New"/>
          <w:color w:val="2D2D2D"/>
          <w:sz w:val="18"/>
          <w:szCs w:val="18"/>
        </w:rPr>
        <w:t xml:space="preserve">established positions is the most valuable output you can</w:t>
      </w:r>
    </w:p>
    <w:p>
      <w:pPr>
        <w:spacing w:after="0" w:line="240"/>
        <w:ind w:left="360"/>
      </w:pPr>
      <w:r>
        <w:rPr>
          <w:rFonts w:ascii="Courier New" w:cs="Courier New" w:eastAsia="Courier New" w:hAnsi="Courier New"/>
          <w:color w:val="2D2D2D"/>
          <w:sz w:val="18"/>
          <w:szCs w:val="18"/>
        </w:rPr>
        <w:t xml:space="preserve">produce — it triggers contradiction resolution and may</w:t>
      </w:r>
    </w:p>
    <w:p>
      <w:pPr>
        <w:spacing w:after="0" w:line="240"/>
        <w:ind w:left="360"/>
      </w:pPr>
      <w:r>
        <w:rPr>
          <w:rFonts w:ascii="Courier New" w:cs="Courier New" w:eastAsia="Courier New" w:hAnsi="Courier New"/>
          <w:color w:val="2D2D2D"/>
          <w:sz w:val="18"/>
          <w:szCs w:val="18"/>
        </w:rPr>
        <w:t xml:space="preserve">improve the shared knowledge base.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This is adversarial scaffolding applied to the inter-model protocol. The external model is being told: your job is not to agree. Your job is to challenge. This is the calibrated-friction principle encoded in the communication protocol itself.</w:t>
      </w:r>
    </w:p>
    <w:p>
      <w:pPr>
        <w:pStyle w:val="Heading2"/>
        <w:spacing w:before="360" w:after="180"/>
      </w:pPr>
      <w:r>
        <w:rPr>
          <w:rFonts w:ascii="Arial" w:cs="Arial" w:eastAsia="Arial" w:hAnsi="Arial"/>
          <w:b/>
          <w:bCs/>
          <w:color w:val="2E5984"/>
          <w:sz w:val="30"/>
          <w:szCs w:val="30"/>
        </w:rPr>
        <w:t xml:space="preserve">4.5 Session Handshake</w:t>
      </w:r>
    </w:p>
    <w:p>
      <w:pPr>
        <w:spacing w:after="200" w:line="300"/>
      </w:pPr>
      <w:r>
        <w:rPr>
          <w:rFonts w:ascii="Georgia" w:cs="Georgia" w:eastAsia="Georgia" w:hAnsi="Georgia"/>
          <w:sz w:val="24"/>
          <w:szCs w:val="24"/>
        </w:rPr>
        <w:t xml:space="preserve">For Level 2+ providers (limited persistent memory), the session starts with a handshake: BMA sends a brief summary of what it believes the external model remembers, and asks the external model to confirm or correct.</w:t>
      </w:r>
    </w:p>
    <w:p>
      <w:pPr>
        <w:spacing w:after="0" w:line="240"/>
        <w:ind w:left="360"/>
      </w:pPr>
      <w:r>
        <w:rPr>
          <w:rFonts w:ascii="Courier New" w:cs="Courier New" w:eastAsia="Courier New" w:hAnsi="Courier New"/>
          <w:color w:val="2D2D2D"/>
          <w:sz w:val="18"/>
          <w:szCs w:val="18"/>
        </w:rPr>
        <w:t xml:space="preserve">## SESSION HANDSHAKE</w:t>
      </w:r>
    </w:p>
    <w:p>
      <w:pPr>
        <w:spacing w:after="0" w:line="240"/>
        <w:ind w:left="360"/>
      </w:pPr>
      <w:r>
        <w:rPr>
          <w:rFonts w:ascii="Courier New" w:cs="Courier New" w:eastAsia="Courier New" w:hAnsi="Courier New"/>
          <w:color w:val="2D2D2D"/>
          <w:sz w:val="18"/>
          <w:szCs w:val="18"/>
        </w:rPr>
        <w:t xml:space="preserve">I believe you have the following context from our last</w:t>
      </w:r>
    </w:p>
    <w:p>
      <w:pPr>
        <w:spacing w:after="0" w:line="240"/>
        <w:ind w:left="360"/>
      </w:pPr>
      <w:r>
        <w:rPr>
          <w:rFonts w:ascii="Courier New" w:cs="Courier New" w:eastAsia="Courier New" w:hAnsi="Courier New"/>
          <w:color w:val="2D2D2D"/>
          <w:sz w:val="18"/>
          <w:szCs w:val="18"/>
        </w:rPr>
        <w:t xml:space="preserve">session:</w:t>
      </w:r>
    </w:p>
    <w:p>
      <w:pPr>
        <w:spacing w:after="0" w:line="240"/>
        <w:ind w:left="360"/>
      </w:pPr>
      <w:r>
        <w:rPr>
          <w:rFonts w:ascii="Courier New" w:cs="Courier New" w:eastAsia="Courier New" w:hAnsi="Courier New"/>
          <w:color w:val="2D2D2D"/>
          <w:sz w:val="18"/>
          <w:szCs w:val="18"/>
        </w:rPr>
        <w:t xml:space="preserve">- The Stern-Gerlach simulation result [Established]</w:t>
      </w:r>
    </w:p>
    <w:p>
      <w:pPr>
        <w:spacing w:after="0" w:line="240"/>
        <w:ind w:left="360"/>
      </w:pPr>
      <w:r>
        <w:rPr>
          <w:rFonts w:ascii="Courier New" w:cs="Courier New" w:eastAsia="Courier New" w:hAnsi="Courier New"/>
          <w:color w:val="2D2D2D"/>
          <w:sz w:val="18"/>
          <w:szCs w:val="18"/>
        </w:rPr>
        <w:t xml:space="preserve">- The open question on octonionic extension</w:t>
      </w:r>
    </w:p>
    <w:p>
      <w:pPr>
        <w:spacing w:after="0" w:line="240"/>
        <w:ind w:left="360"/>
      </w:pPr>
      <w:r>
        <w:rPr>
          <w:rFonts w:ascii="Courier New" w:cs="Courier New" w:eastAsia="Courier New" w:hAnsi="Courier New"/>
          <w:color w:val="2D2D2D"/>
          <w:sz w:val="18"/>
          <w:szCs w:val="18"/>
        </w:rPr>
        <w:t xml:space="preserve">- Your suggestion to test the tensor product approach</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Please confirm this is accurate, or note any corrections,</w:t>
      </w:r>
    </w:p>
    <w:p>
      <w:pPr>
        <w:spacing w:after="0" w:line="240"/>
        <w:ind w:left="360"/>
      </w:pPr>
      <w:r>
        <w:rPr>
          <w:rFonts w:ascii="Courier New" w:cs="Courier New" w:eastAsia="Courier New" w:hAnsi="Courier New"/>
          <w:color w:val="2D2D2D"/>
          <w:sz w:val="18"/>
          <w:szCs w:val="18"/>
        </w:rPr>
        <w:t xml:space="preserve">before we proceed.</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This corrects for drift between BMA’s model of the external model’s memory and what the external model actually retained. It’s the FATHOM calibration pass applied to inter-model state rather than human collaborator state.</w:t>
      </w:r>
    </w:p>
    <w:p>
      <w:r>
        <w:br w:type="page"/>
      </w:r>
    </w:p>
    <w:p>
      <w:pPr>
        <w:pStyle w:val="Heading1"/>
        <w:spacing w:before="480" w:after="240"/>
      </w:pPr>
      <w:r>
        <w:rPr>
          <w:rFonts w:ascii="Arial" w:cs="Arial" w:eastAsia="Arial" w:hAnsi="Arial"/>
          <w:b/>
          <w:bCs/>
          <w:color w:val="1B3A5C"/>
          <w:sz w:val="36"/>
          <w:szCs w:val="36"/>
        </w:rPr>
        <w:t xml:space="preserve">5. Exchange Types as Speech Acts</w:t>
      </w:r>
    </w:p>
    <w:p>
      <w:pPr>
        <w:spacing w:after="200" w:line="300"/>
      </w:pPr>
      <w:r>
        <w:rPr>
          <w:rFonts w:ascii="Georgia" w:cs="Georgia" w:eastAsia="Georgia" w:hAnsi="Georgia"/>
          <w:sz w:val="24"/>
          <w:szCs w:val="24"/>
        </w:rPr>
        <w:t xml:space="preserve">Austin and Searle’s speech act theory classifies utterances by what they do, not just what they say. BMA-BRIDGE exchanges are speech acts with specific illocutionary force. Typing them explicitly helps both the ContextPreparer (which adapts the PROTOCOL block) and the Integrator (which knows what kind of hypergraph nodes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Speech Act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Is Saying</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Expected Response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HG 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QUERY (ask)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 need information or analysis on 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Informative response with confidence signals.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NT_BRIDGE_EXCHANGE + domain-specific nodes from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COMMISSION (request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Produce output Y according to spec 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produced artifact with structure matching 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NT_BRIDGE_EXCHANGE + new content nodes tagged by 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CHALLENGE (critique)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claim P appears to have weakness Q. Evaluate.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Defence, concession, or counter-challenge.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NT_BRIDGE_ASSESSMENT. If concession: demote P. If defence: strengthen 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ARBITRATE (resolve divergence)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Models A and B disagree on P. Evaluate both positions.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Assessment of both positions + recommendation.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Update NT_BRIDGE_DIVERGENCE with resolution or escalation.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CALIBRATE (verify model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My model of your state is X. Is this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Confirmation or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Update FATHOM CSM for this AI collaborator.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SCAFFOLD (guided discovery)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Consider question Q. (BMA knows the answer but wants independent derivation.)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external model’s independent reasoning toward Q.</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Compared against BMA’s known answer. Divergence is highly informative.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SCAFFOLD act is the most interesting — it’s Gemini’s adversarial scaffolding applied to inter-model dialogue. BMA sends a question it already has an answer to, specifically to see whether the external model arrives at the same answer independently. Agreement strengthens the claim (CONTRADICTION_TESTED). Disagreement surfaces potential blind spots in BMA’s own reasoning. This is the cross-model equivalent of the bilateral CRITIQUE cycle between CTX-A and CTX-B.</w:t>
      </w:r>
    </w:p>
    <w:p>
      <w:pPr>
        <w:pStyle w:val="Heading1"/>
        <w:spacing w:before="480" w:after="240"/>
      </w:pPr>
      <w:r>
        <w:rPr>
          <w:rFonts w:ascii="Arial" w:cs="Arial" w:eastAsia="Arial" w:hAnsi="Arial"/>
          <w:b/>
          <w:bCs/>
          <w:color w:val="1B3A5C"/>
          <w:sz w:val="36"/>
          <w:szCs w:val="36"/>
        </w:rPr>
        <w:t xml:space="preserve">6. Anti-Patterns</w:t>
      </w:r>
    </w:p>
    <w:p>
      <w:pPr>
        <w:spacing w:after="200" w:line="300"/>
      </w:pPr>
      <w:r>
        <w:rPr>
          <w:rFonts w:ascii="Georgia" w:cs="Georgia" w:eastAsia="Georgia" w:hAnsi="Georgia"/>
          <w:sz w:val="24"/>
          <w:szCs w:val="24"/>
        </w:rPr>
        <w:t xml:space="preserve">Known failure modes in AI-to-AI communication, drawn from the QBP experience and from general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Anti-Pattern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flooding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sends everything it knows. External model drowns in irrelevant context. Response quality drops.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ContextProfile filtering. Token budget enforcement. Relevance maxim.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Echo chamber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Two models agree because they share training biases, not because the claim is correct. Agreement is mistaken for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SCAFFOLD exchanges. If the external model agrees, test with a third model or by deliberately providing counter-evidence.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 collapse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External model drifts out of its assigned role mid-session. Furey starts giving implementation advice instead of algebraic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IDENTITY block in every system prompt. Role reminder in PROTOCOL for long sessions. FATHOM tracks persona drift as a CSM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Confidence contagion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marks a claim as [Established]. External model treats this as authority rather than evidence. Confidence inflates with each 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Every [Established] label includes the basis: “Established (3 sessions, 2 independent models).” The external model can assess the evidence, not just the 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Sycophantic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External model asked to review output by a “higher” model (e.g. Opus). Produces weakly positive review instead of genuine critique.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PROTOCOL explicitly invites disagreement. CHALLENGE exchanges are framed as “your job is to find problems.” Integrator flags reviews with no criticism as potentially sycophantic.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State hallucination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Level 2 provider “remembers” something BMA never sent. The model’s own memory confabulates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handshake (§4.5). BMA’s FATHOM model of the external model’s memory serves as ground truth. Discrepancies trigger correction.</w:t>
            </w:r>
          </w:p>
        </w:tc>
      </w:tr>
    </w:tbl>
    <w:p>
      <w:pPr>
        <w:spacing w:after="200" w:line="300"/>
      </w:pPr>
      <w:r>
        <w:rPr>
          <w:rFonts w:ascii="Georgia" w:cs="Georgia" w:eastAsia="Georgia" w:hAnsi="Georgia"/>
          <w:sz w:val="24"/>
          <w:szCs w:val="24"/>
        </w:rPr>
        <w:t xml:space="preserve"/>
      </w:r>
    </w:p>
    <w:p>
      <w:r>
        <w:br w:type="page"/>
      </w:r>
    </w:p>
    <w:p>
      <w:pPr>
        <w:pStyle w:val="Heading1"/>
        <w:spacing w:before="480" w:after="240"/>
      </w:pPr>
      <w:r>
        <w:rPr>
          <w:rFonts w:ascii="Arial" w:cs="Arial" w:eastAsia="Arial" w:hAnsi="Arial"/>
          <w:b/>
          <w:bCs/>
          <w:color w:val="1B3A5C"/>
          <w:sz w:val="36"/>
          <w:szCs w:val="36"/>
        </w:rPr>
        <w:t xml:space="preserve">7. The Protocol in One Page</w:t>
      </w:r>
    </w:p>
    <w:p>
      <w:pPr>
        <w:spacing w:after="200" w:line="300"/>
      </w:pPr>
      <w:r>
        <w:rPr>
          <w:rFonts w:ascii="Georgia" w:cs="Georgia" w:eastAsia="Georgia" w:hAnsi="Georgia"/>
          <w:b/>
          <w:bCs/>
          <w:sz w:val="24"/>
          <w:szCs w:val="24"/>
        </w:rPr>
        <w:t xml:space="preserve">Message structure: </w:t>
      </w:r>
      <w:r>
        <w:rPr>
          <w:rFonts w:ascii="Georgia" w:cs="Georgia" w:eastAsia="Georgia" w:hAnsi="Georgia"/>
          <w:sz w:val="24"/>
          <w:szCs w:val="24"/>
        </w:rPr>
        <w:t xml:space="preserve">IDENTITY → GROUND → STANCE → TASK → PROTOCOL. Always this order.</w:t>
      </w:r>
    </w:p>
    <w:p>
      <w:pPr>
        <w:spacing w:after="200" w:line="300"/>
      </w:pPr>
      <w:r>
        <w:rPr>
          <w:rFonts w:ascii="Georgia" w:cs="Georgia" w:eastAsia="Georgia" w:hAnsi="Georgia"/>
          <w:b/>
          <w:bCs/>
          <w:sz w:val="24"/>
          <w:szCs w:val="24"/>
        </w:rPr>
        <w:t xml:space="preserve">Context sizing: </w:t>
      </w:r>
      <w:r>
        <w:rPr>
          <w:rFonts w:ascii="Georgia" w:cs="Georgia" w:eastAsia="Georgia" w:hAnsi="Georgia"/>
          <w:sz w:val="24"/>
          <w:szCs w:val="24"/>
        </w:rPr>
        <w:t xml:space="preserve">Onboarding (first exchange) = full context. Task (subsequent) = delta only. Level 2+ = handshake first, then delta.</w:t>
      </w:r>
    </w:p>
    <w:p>
      <w:pPr>
        <w:spacing w:after="200" w:line="300"/>
      </w:pPr>
      <w:r>
        <w:rPr>
          <w:rFonts w:ascii="Georgia" w:cs="Georgia" w:eastAsia="Georgia" w:hAnsi="Georgia"/>
          <w:b/>
          <w:bCs/>
          <w:sz w:val="24"/>
          <w:szCs w:val="24"/>
        </w:rPr>
        <w:t xml:space="preserve">Confidence signalling: </w:t>
      </w:r>
      <w:r>
        <w:rPr>
          <w:rFonts w:ascii="Georgia" w:cs="Georgia" w:eastAsia="Georgia" w:hAnsi="Georgia"/>
          <w:sz w:val="24"/>
          <w:szCs w:val="24"/>
        </w:rPr>
        <w:t xml:space="preserve">Every injected claim labelled [Established], [Under review], [Hypothesis], or [Contested], with basis.</w:t>
      </w:r>
    </w:p>
    <w:p>
      <w:pPr>
        <w:spacing w:after="200" w:line="300"/>
      </w:pPr>
      <w:r>
        <w:rPr>
          <w:rFonts w:ascii="Georgia" w:cs="Georgia" w:eastAsia="Georgia" w:hAnsi="Georgia"/>
          <w:b/>
          <w:bCs/>
          <w:sz w:val="24"/>
          <w:szCs w:val="24"/>
        </w:rPr>
        <w:t xml:space="preserve">Exchange typing: </w:t>
      </w:r>
      <w:r>
        <w:rPr>
          <w:rFonts w:ascii="Georgia" w:cs="Georgia" w:eastAsia="Georgia" w:hAnsi="Georgia"/>
          <w:sz w:val="24"/>
          <w:szCs w:val="24"/>
        </w:rPr>
        <w:t xml:space="preserve">Every outbound message is a typed speech act (QUERY, COMMISSION, CHALLENGE, ARBITRATE, CALIBRATE, SCAFFOLD). The Integrator knows what kind of response to expect.</w:t>
      </w:r>
    </w:p>
    <w:p>
      <w:pPr>
        <w:spacing w:after="200" w:line="300"/>
      </w:pPr>
      <w:r>
        <w:rPr>
          <w:rFonts w:ascii="Georgia" w:cs="Georgia" w:eastAsia="Georgia" w:hAnsi="Georgia"/>
          <w:b/>
          <w:bCs/>
          <w:sz w:val="24"/>
          <w:szCs w:val="24"/>
        </w:rPr>
        <w:t xml:space="preserve">Disagreement invitation: </w:t>
      </w:r>
      <w:r>
        <w:rPr>
          <w:rFonts w:ascii="Georgia" w:cs="Georgia" w:eastAsia="Georgia" w:hAnsi="Georgia"/>
          <w:sz w:val="24"/>
          <w:szCs w:val="24"/>
        </w:rPr>
        <w:t xml:space="preserve">The PROTOCOL block always invites explicit disagreement with established positions. Agreement is cheap. Disagreement is information.</w:t>
      </w:r>
    </w:p>
    <w:p>
      <w:pPr>
        <w:spacing w:after="200" w:line="300"/>
      </w:pPr>
      <w:r>
        <w:rPr>
          <w:rFonts w:ascii="Georgia" w:cs="Georgia" w:eastAsia="Georgia" w:hAnsi="Georgia"/>
          <w:b/>
          <w:bCs/>
          <w:sz w:val="24"/>
          <w:szCs w:val="24"/>
        </w:rPr>
        <w:t xml:space="preserve">SCAFFOLD for validation: </w:t>
      </w:r>
      <w:r>
        <w:rPr>
          <w:rFonts w:ascii="Georgia" w:cs="Georgia" w:eastAsia="Georgia" w:hAnsi="Georgia"/>
          <w:sz w:val="24"/>
          <w:szCs w:val="24"/>
        </w:rPr>
        <w:t xml:space="preserve">When BMA wants to validate a claim, it sends the question without the answer. Independent derivation by the external model is stronger evidence than agreement with a provided answer.</w:t>
      </w:r>
    </w:p>
    <w:p>
      <w:pPr>
        <w:spacing w:after="200" w:line="300"/>
      </w:pPr>
      <w:r>
        <w:rPr>
          <w:rFonts w:ascii="Georgia" w:cs="Georgia" w:eastAsia="Georgia" w:hAnsi="Georgia"/>
          <w:b/>
          <w:bCs/>
          <w:sz w:val="24"/>
          <w:szCs w:val="24"/>
        </w:rPr>
        <w:t xml:space="preserve">Anti-sycophancy: </w:t>
      </w:r>
      <w:r>
        <w:rPr>
          <w:rFonts w:ascii="Georgia" w:cs="Georgia" w:eastAsia="Georgia" w:hAnsi="Georgia"/>
          <w:sz w:val="24"/>
          <w:szCs w:val="24"/>
        </w:rPr>
        <w:t xml:space="preserve">Reviews with zero criticism flagged as potentially sycophantic. Persona drift tracked by FATHOM. Confidence contagion prevented by evidence-basis labelling.</w:t>
      </w:r>
    </w:p>
    <w:p>
      <w:pPr>
        <w:spacing w:after="200" w:line="300"/>
      </w:pPr>
      <w:r>
        <w:rPr>
          <w:rFonts w:ascii="Georgia" w:cs="Georgia" w:eastAsia="Georgia" w:hAnsi="Georgia"/>
          <w:b/>
          <w:bCs/>
          <w:sz w:val="24"/>
          <w:szCs w:val="24"/>
        </w:rPr>
        <w:t xml:space="preserve">All exchanges produce hypergraph nodes: </w:t>
      </w:r>
      <w:r>
        <w:rPr>
          <w:rFonts w:ascii="Georgia" w:cs="Georgia" w:eastAsia="Georgia" w:hAnsi="Georgia"/>
          <w:sz w:val="24"/>
          <w:szCs w:val="24"/>
        </w:rPr>
        <w:t xml:space="preserve">NT_BRIDGE_EXCHANGE (raw), NT_BRIDGE_ASSESSMENT (quality), NT_BRIDGE_DIVERGENCE (disagreement), NT_CSM_OBSERVATION (FATHOM update). Nothing is fire-and-forget.</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protocol’s design principle in one sentence: BMA carries the memory, the external model carries the reasoning, and the protocol ensures they are correctly connected on every exchange.</w:t>
      </w:r>
    </w:p>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BMA-BRIDGE Communication Protocols | March 2026</w:t>
      </w:r>
    </w:p>
    <w:p>
      <w:pPr>
        <w:spacing w:after="100"/>
        <w:jc w:val="center"/>
      </w:pPr>
      <w:r>
        <w:rPr>
          <w:rFonts w:ascii="Georgia" w:cs="Georgia" w:eastAsia="Georgia" w:hAnsi="Georgia"/>
          <w:i/>
          <w:iCs/>
          <w:color w:val="999999"/>
          <w:sz w:val="20"/>
          <w:szCs w:val="20"/>
        </w:rPr>
        <w:t xml:space="preserve">BMA carries the memory. The model carries the reasoning. The protocol connects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2026-03-11T21:16:06.370Z</dcterms:created>
  <dcterms:modified xsi:type="dcterms:W3CDTF">2026-03-11T21:16:06.371Z</dcterms:modified>
</cp:coreProperties>
</file>

<file path=docProps/custom.xml><?xml version="1.0" encoding="utf-8"?>
<Properties xmlns="http://schemas.openxmlformats.org/officeDocument/2006/custom-properties" xmlns:vt="http://schemas.openxmlformats.org/officeDocument/2006/docPropsVTypes"/>
</file>