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8"/>
          <w:szCs w:val="48"/>
        </w:rPr>
        <w:t xml:space="preserve">CROSS-MODEL REVIEW</w:t>
      </w:r>
    </w:p>
    <w:p>
      <w:pPr>
        <w:spacing w:after="120"/>
        <w:jc w:val="center"/>
      </w:pPr>
      <w:r>
        <w:rPr>
          <w:rFonts w:ascii="Arial" w:cs="Arial" w:eastAsia="Arial" w:hAnsi="Arial"/>
          <w:color w:val="2E5984"/>
          <w:sz w:val="32"/>
          <w:szCs w:val="32"/>
        </w:rPr>
        <w:t xml:space="preserve">Three Perspectives on Empathy &amp; Theory of Mind in BMA</w:t>
      </w:r>
    </w:p>
    <w:p>
      <w:pPr>
        <w:spacing w:after="400"/>
        <w:jc w:val="center"/>
      </w:pPr>
      <w:r>
        <w:rPr>
          <w:rFonts w:ascii="Georgia" w:cs="Georgia" w:eastAsia="Georgia" w:hAnsi="Georgia"/>
          <w:i/>
          <w:iCs/>
          <w:color w:val="555555"/>
          <w:sz w:val="24"/>
          <w:szCs w:val="24"/>
        </w:rPr>
        <w:t xml:space="preserve">Sonnet 4.6 (Theory Addendum 8.0) × Opus 4.6 (Development Plan) × Gemini (Framework Extensions)</w:t>
      </w:r>
    </w:p>
    <w:p>
      <w:pPr>
        <w:pBdr>
          <w:bottom w:val="single" w:color="CCCCCC" w:sz="6" w:space="8"/>
        </w:pBdr>
        <w:spacing w:before="200" w:after="200"/>
      </w:pPr>
    </w:p>
    <w:p>
      <w:pPr>
        <w:spacing w:after="80"/>
        <w:jc w:val="center"/>
      </w:pPr>
      <w:r>
        <w:rPr>
          <w:rFonts w:ascii="Georgia" w:cs="Georgia" w:eastAsia="Georgia" w:hAnsi="Georgia"/>
          <w:color w:val="777777"/>
          <w:sz w:val="22"/>
          <w:szCs w:val="22"/>
        </w:rPr>
        <w:t xml:space="preserve">Biological Mind Architecture — QBP Project — March 2026</w:t>
      </w:r>
    </w:p>
    <w:p>
      <w:pPr>
        <w:spacing w:after="80"/>
        <w:jc w:val="center"/>
      </w:pPr>
      <w:r>
        <w:rPr>
          <w:rFonts w:ascii="Georgia" w:cs="Georgia" w:eastAsia="Georgia" w:hAnsi="Georgia"/>
          <w:color w:val="777777"/>
          <w:sz w:val="22"/>
          <w:szCs w:val="22"/>
        </w:rPr>
        <w:t xml:space="preserve">Review by: Claude Opus 4.6 | For: James Paget-Butler</w:t>
      </w:r>
    </w:p>
    <w:p>
      <w:r>
        <w:br w:type="page"/>
      </w:r>
    </w:p>
    <w:p>
      <w:pPr>
        <w:pStyle w:val="Heading1"/>
        <w:spacing w:before="480" w:after="240"/>
      </w:pPr>
      <w:r>
        <w:rPr>
          <w:rFonts w:ascii="Arial" w:cs="Arial" w:eastAsia="Arial" w:hAnsi="Arial"/>
          <w:b/>
          <w:bCs/>
          <w:color w:val="1B3A5C"/>
          <w:sz w:val="36"/>
          <w:szCs w:val="36"/>
        </w:rPr>
        <w:t xml:space="preserve">Preamble: What This Document Is</w:t>
      </w:r>
    </w:p>
    <w:p>
      <w:pPr>
        <w:spacing w:after="200" w:line="300"/>
      </w:pPr>
      <w:r>
        <w:rPr>
          <w:rFonts w:ascii="Georgia" w:cs="Georgia" w:eastAsia="Georgia" w:hAnsi="Georgia"/>
          <w:sz w:val="24"/>
          <w:szCs w:val="24"/>
        </w:rPr>
        <w:t xml:space="preserve">Three AI systems have now independently worked on the same problem: how to implement empathy and theory of mind in BMA. Each brought different strengths. This review compares their contributions, identifies where they converge and diverge, resolves the divergences where possible, and produces a refined synthesis that draws the best from each.</w:t>
      </w:r>
    </w:p>
    <w:p>
      <w:pPr>
        <w:spacing w:after="200" w:line="300"/>
      </w:pPr>
      <w:r>
        <w:rPr>
          <w:rFonts w:ascii="Georgia" w:cs="Georgia" w:eastAsia="Georgia" w:hAnsi="Georgia"/>
          <w:sz w:val="24"/>
          <w:szCs w:val="24"/>
        </w:rPr>
        <w:t xml:space="preserve">The three inputs are:</w:t>
      </w:r>
    </w:p>
    <w:p>
      <w:pPr>
        <w:spacing w:after="200" w:line="300"/>
      </w:pPr>
      <w:r>
        <w:rPr>
          <w:rFonts w:ascii="Georgia" w:cs="Georgia" w:eastAsia="Georgia" w:hAnsi="Georgia"/>
          <w:b/>
          <w:bCs/>
          <w:sz w:val="24"/>
          <w:szCs w:val="24"/>
        </w:rPr>
        <w:t xml:space="preserve">Sonnet 4.6 — BMA Theory Addendum 8.0. </w:t>
      </w:r>
      <w:r>
        <w:rPr>
          <w:rFonts w:ascii="Georgia" w:cs="Georgia" w:eastAsia="Georgia" w:hAnsi="Georgia"/>
          <w:sz w:val="24"/>
          <w:szCs w:val="24"/>
        </w:rPr>
        <w:t xml:space="preserve">A formal theory addendum treating empathy as computational architecture. Introduces BMA-USM (User State Model) with five dimensions of user state, a three-order recursive ToM architecture, and a signal hierarchy for model updates. Maps existing BMA components (SUB-L/R, CCB-SUB, hypergraph, sleep, IGNITION) onto their latent ToM functions. 357 lines, 12 citations.</w:t>
      </w:r>
    </w:p>
    <w:p>
      <w:pPr>
        <w:spacing w:after="200" w:line="300"/>
      </w:pPr>
      <w:r>
        <w:rPr>
          <w:rFonts w:ascii="Georgia" w:cs="Georgia" w:eastAsia="Georgia" w:hAnsi="Georgia"/>
          <w:b/>
          <w:bCs/>
          <w:sz w:val="24"/>
          <w:szCs w:val="24"/>
        </w:rPr>
        <w:t xml:space="preserve">Opus 4.6 — BMA Empathy/ToM Development Plan. </w:t>
      </w:r>
      <w:r>
        <w:rPr>
          <w:rFonts w:ascii="Georgia" w:cs="Georgia" w:eastAsia="Georgia" w:hAnsi="Georgia"/>
          <w:sz w:val="24"/>
          <w:szCs w:val="24"/>
        </w:rPr>
        <w:t xml:space="preserve">An implementation-focused planning document. Introduces BMA-CSM (Collaborator State Model) with four hypergraph node types, a new stress event, interjection modulation layer, and phased implementation milestones with acceptance criteria across Crawl/Walk/Run. Includes ethical constraints and named failure modes. ~305 paragraphs.</w:t>
      </w:r>
    </w:p>
    <w:p>
      <w:pPr>
        <w:spacing w:after="200" w:line="300"/>
      </w:pPr>
      <w:r>
        <w:rPr>
          <w:rFonts w:ascii="Georgia" w:cs="Georgia" w:eastAsia="Georgia" w:hAnsi="Georgia"/>
          <w:b/>
          <w:bCs/>
          <w:sz w:val="24"/>
          <w:szCs w:val="24"/>
        </w:rPr>
        <w:t xml:space="preserve">Gemini (Furey/Feynman) — Framework Extensions. </w:t>
      </w:r>
      <w:r>
        <w:rPr>
          <w:rFonts w:ascii="Georgia" w:cs="Georgia" w:eastAsia="Georgia" w:hAnsi="Georgia"/>
          <w:sz w:val="24"/>
          <w:szCs w:val="24"/>
        </w:rPr>
        <w:t xml:space="preserve">A theoretical extension of the original empathy synthesis. Challenges whether current LLMs have surpassed Phase 1 perception-modeling. Introduces Contextual Continuity as the solution to the Amnesic DM problem, Bidirectional Transparency as the solution to collaboration asymmetry, and Adversarial Scaffolding as the implementation principle for calibrated friction. Poses three strategic questions for cross-model engagement.</w:t>
      </w:r>
    </w:p>
    <w:p>
      <w:r>
        <w:br w:type="page"/>
      </w:r>
    </w:p>
    <w:p>
      <w:pPr>
        <w:pStyle w:val="Heading1"/>
        <w:spacing w:before="480" w:after="240"/>
      </w:pPr>
      <w:r>
        <w:rPr>
          <w:rFonts w:ascii="Arial" w:cs="Arial" w:eastAsia="Arial" w:hAnsi="Arial"/>
          <w:b/>
          <w:bCs/>
          <w:color w:val="1B3A5C"/>
          <w:sz w:val="36"/>
          <w:szCs w:val="36"/>
        </w:rPr>
        <w:t xml:space="preserve">Part I: Where All Three Converge</w:t>
      </w:r>
    </w:p>
    <w:p>
      <w:pPr>
        <w:pStyle w:val="Heading2"/>
        <w:spacing w:before="360" w:after="180"/>
      </w:pPr>
      <w:r>
        <w:rPr>
          <w:rFonts w:ascii="Arial" w:cs="Arial" w:eastAsia="Arial" w:hAnsi="Arial"/>
          <w:b/>
          <w:bCs/>
          <w:color w:val="2E5984"/>
          <w:sz w:val="30"/>
          <w:szCs w:val="30"/>
        </w:rPr>
        <w:t xml:space="preserve">1.1 Empathy as Computation, Not Sentiment</w:t>
      </w:r>
    </w:p>
    <w:p>
      <w:pPr>
        <w:spacing w:after="200" w:line="300"/>
      </w:pPr>
      <w:r>
        <w:rPr>
          <w:rFonts w:ascii="Georgia" w:cs="Georgia" w:eastAsia="Georgia" w:hAnsi="Georgia"/>
          <w:sz w:val="24"/>
          <w:szCs w:val="24"/>
        </w:rPr>
        <w:t xml:space="preserve">All three inputs share the same foundational commitment: empathy is a cognitive architecture for modeling external agents, not a feeling to be simulated. Sonnet states this most explicitly in the opening callout of Addendum 8.0: the central question is not whether BMA can feel what the user feels, but whether it can build and maintain a sufficiently rich model that the collaboration produces outcomes neither party could reach alone. Gemini grounds this in the evolutionary arc. My plan frames it as the gap between self-modeling (which BMA has) and collaborator-modeling (which BMA lacks). All three arrive at the same functional definition.</w:t>
      </w:r>
    </w:p>
    <w:p>
      <w:pPr>
        <w:pStyle w:val="Heading2"/>
        <w:spacing w:before="360" w:after="180"/>
      </w:pPr>
      <w:r>
        <w:rPr>
          <w:rFonts w:ascii="Arial" w:cs="Arial" w:eastAsia="Arial" w:hAnsi="Arial"/>
          <w:b/>
          <w:bCs/>
          <w:color w:val="2E5984"/>
          <w:sz w:val="30"/>
          <w:szCs w:val="30"/>
        </w:rPr>
        <w:t xml:space="preserve">1.2 Calibrated Friction as Design Principle</w:t>
      </w:r>
    </w:p>
    <w:p>
      <w:pPr>
        <w:spacing w:after="200" w:line="300"/>
      </w:pPr>
      <w:r>
        <w:rPr>
          <w:rFonts w:ascii="Georgia" w:cs="Georgia" w:eastAsia="Georgia" w:hAnsi="Georgia"/>
          <w:sz w:val="24"/>
          <w:szCs w:val="24"/>
        </w:rPr>
        <w:t xml:space="preserve">All three independently identify that maximum alignment is harmful. Sonnet calls this the adversarial substrate of empathy retained as a functional feature. I frame it as optimizing tension between support and challenge. Gemini introduces the most vivid formulation: the AI should act as a predator to the user’s weak arguments, using its persistent model to hide and reveal information much as a DM challenges a player’s strategy.</w:t>
      </w:r>
    </w:p>
    <w:p>
      <w:pPr>
        <w:spacing w:after="200" w:line="300"/>
      </w:pPr>
      <w:r>
        <w:rPr>
          <w:rFonts w:ascii="Georgia" w:cs="Georgia" w:eastAsia="Georgia" w:hAnsi="Georgia"/>
          <w:sz w:val="24"/>
          <w:szCs w:val="24"/>
        </w:rPr>
        <w:t xml:space="preserve">This three-way convergence is significant. It means calibrated friction is not a stylistic preference of one system — it is a structural consequence of taking the evolutionary arc seriously. A system that models its collaborator but never uses that model to challenge them has abandoned the adversarial substrate that made the modeling capability valuable in the first place.</w:t>
      </w:r>
    </w:p>
    <w:p>
      <w:pPr>
        <w:pStyle w:val="Heading2"/>
        <w:spacing w:before="360" w:after="180"/>
      </w:pPr>
      <w:r>
        <w:rPr>
          <w:rFonts w:ascii="Arial" w:cs="Arial" w:eastAsia="Arial" w:hAnsi="Arial"/>
          <w:b/>
          <w:bCs/>
          <w:color w:val="2E5984"/>
          <w:sz w:val="30"/>
          <w:szCs w:val="30"/>
        </w:rPr>
        <w:t xml:space="preserve">1.3 The Asymmetry Problem as Central Obstacle</w:t>
      </w:r>
    </w:p>
    <w:p>
      <w:pPr>
        <w:spacing w:after="200" w:line="300"/>
      </w:pPr>
      <w:r>
        <w:rPr>
          <w:rFonts w:ascii="Georgia" w:cs="Georgia" w:eastAsia="Georgia" w:hAnsi="Georgia"/>
          <w:sz w:val="24"/>
          <w:szCs w:val="24"/>
        </w:rPr>
        <w:t xml:space="preserve">All three identify the same structural bottleneck: the human’s inability to accurately model the AI degrades the collaboration. Sonnet addresses this through second-order ToM (modeling the user’s model of BMA). I address it through the legibility obligation (the human can query the CSM at any time). Gemini addresses it through bidirectional transparency (the AI providing cues that help the human model it). These are three faces of the same solution, and the refined version needs all of them.</w:t>
      </w:r>
    </w:p>
    <w:p>
      <w:r>
        <w:br w:type="page"/>
      </w:r>
    </w:p>
    <w:p>
      <w:pPr>
        <w:pStyle w:val="Heading1"/>
        <w:spacing w:before="480" w:after="240"/>
      </w:pPr>
      <w:r>
        <w:rPr>
          <w:rFonts w:ascii="Arial" w:cs="Arial" w:eastAsia="Arial" w:hAnsi="Arial"/>
          <w:b/>
          <w:bCs/>
          <w:color w:val="1B3A5C"/>
          <w:sz w:val="36"/>
          <w:szCs w:val="36"/>
        </w:rPr>
        <w:t xml:space="preserve">Part II: Where They Productively Diverge</w:t>
      </w:r>
    </w:p>
    <w:p>
      <w:pPr>
        <w:pStyle w:val="Heading2"/>
        <w:spacing w:before="360" w:after="180"/>
      </w:pPr>
      <w:r>
        <w:rPr>
          <w:rFonts w:ascii="Arial" w:cs="Arial" w:eastAsia="Arial" w:hAnsi="Arial"/>
          <w:b/>
          <w:bCs/>
          <w:color w:val="2E5984"/>
          <w:sz w:val="30"/>
          <w:szCs w:val="30"/>
        </w:rPr>
        <w:t xml:space="preserve">2.1 Architectural Philosophy: Latent vs. New</w:t>
      </w:r>
    </w:p>
    <w:p>
      <w:pPr>
        <w:spacing w:after="200" w:line="300"/>
      </w:pPr>
      <w:r>
        <w:rPr>
          <w:rFonts w:ascii="Georgia" w:cs="Georgia" w:eastAsia="Georgia" w:hAnsi="Georgia"/>
          <w:b/>
          <w:bCs/>
          <w:sz w:val="24"/>
          <w:szCs w:val="24"/>
        </w:rPr>
        <w:t xml:space="preserve">Sonnet argues: </w:t>
      </w:r>
      <w:r>
        <w:rPr>
          <w:rFonts w:ascii="Georgia" w:cs="Georgia" w:eastAsia="Georgia" w:hAnsi="Georgia"/>
          <w:sz w:val="24"/>
          <w:szCs w:val="24"/>
        </w:rPr>
        <w:t xml:space="preserve">BMA is already a ToM system. Making this explicit requires one new subgraph structure (BMA-USM), not a new architectural layer. SUB-L is already doing first-order ToM. SUB-R is already doing second-order ToM. CCB-SUB is already negotiating a joint user model. The hypergraph already supports user-model nodes. Sleep already consolidates user-relevant patterns.</w:t>
      </w:r>
    </w:p>
    <w:p>
      <w:pPr>
        <w:spacing w:after="200" w:line="300"/>
      </w:pPr>
      <w:r>
        <w:rPr>
          <w:rFonts w:ascii="Georgia" w:cs="Georgia" w:eastAsia="Georgia" w:hAnsi="Georgia"/>
          <w:b/>
          <w:bCs/>
          <w:sz w:val="24"/>
          <w:szCs w:val="24"/>
        </w:rPr>
        <w:t xml:space="preserve">Opus argues: </w:t>
      </w:r>
      <w:r>
        <w:rPr>
          <w:rFonts w:ascii="Georgia" w:cs="Georgia" w:eastAsia="Georgia" w:hAnsi="Georgia"/>
          <w:sz w:val="24"/>
          <w:szCs w:val="24"/>
        </w:rPr>
        <w:t xml:space="preserve">BMA has no explicit collaborator model. New node types, a new stress event, a new interjection modulation layer, and a new sleep calibration phase are needed.</w:t>
      </w:r>
    </w:p>
    <w:p>
      <w:pPr>
        <w:pBdr>
          <w:left w:val="single" w:color="2E5984" w:sz="12" w:space="8"/>
        </w:pBdr>
        <w:spacing w:before="200" w:after="200" w:line="300"/>
        <w:ind w:left="360" w:right="360"/>
      </w:pPr>
      <w:r>
        <w:rPr>
          <w:rFonts w:ascii="Georgia" w:cs="Georgia" w:eastAsia="Georgia" w:hAnsi="Georgia"/>
          <w:i/>
          <w:iCs/>
          <w:color w:val="333333"/>
          <w:sz w:val="23"/>
          <w:szCs w:val="23"/>
        </w:rPr>
        <w:t xml:space="preserve">Resolution: Sonnet is more architecturally right. Opus is more operationally right. The refined Addendum 8.0 should adopt Sonnet’s framing — making explicit what is implicit — while incorporating Opus’s operational specificity: defined node types, stress events, acceptance criteria, phased milestones. BMA-USM is a specification of latent capability, AND it requires concrete new structures to make that capability first-class.</w:t>
      </w:r>
    </w:p>
    <w:p>
      <w:pPr>
        <w:pStyle w:val="Heading2"/>
        <w:spacing w:before="360" w:after="180"/>
      </w:pPr>
      <w:r>
        <w:rPr>
          <w:rFonts w:ascii="Arial" w:cs="Arial" w:eastAsia="Arial" w:hAnsi="Arial"/>
          <w:b/>
          <w:bCs/>
          <w:color w:val="2E5984"/>
          <w:sz w:val="30"/>
          <w:szCs w:val="30"/>
        </w:rPr>
        <w:t xml:space="preserve">2.2 Gemini’s Phase 1 Challenge</w:t>
      </w:r>
    </w:p>
    <w:p>
      <w:pPr>
        <w:spacing w:after="200" w:line="300"/>
      </w:pPr>
      <w:r>
        <w:rPr>
          <w:rFonts w:ascii="Georgia" w:cs="Georgia" w:eastAsia="Georgia" w:hAnsi="Georgia"/>
          <w:sz w:val="24"/>
          <w:szCs w:val="24"/>
        </w:rPr>
        <w:t xml:space="preserve">Gemini makes a provocative claim that neither Sonnet nor I address: that current LLMs may not have genuinely surpassed Phase 1 perception-modeling. The argument is that token prediction is surface-level pattern matching — what Gemini calls the most sophisticated form of Phase 1 Camouflage — rather than genuine state inference.</w:t>
      </w:r>
    </w:p>
    <w:p>
      <w:pPr>
        <w:spacing w:after="200" w:line="300"/>
      </w:pPr>
      <w:r>
        <w:rPr>
          <w:rFonts w:ascii="Georgia" w:cs="Georgia" w:eastAsia="Georgia" w:hAnsi="Georgia"/>
          <w:sz w:val="24"/>
          <w:szCs w:val="24"/>
        </w:rPr>
        <w:t xml:space="preserve">This deserves serious engagement. The claim has teeth in one direction and is wrong in another.</w:t>
      </w:r>
    </w:p>
    <w:p>
      <w:pPr>
        <w:spacing w:after="200" w:line="300"/>
      </w:pPr>
      <w:r>
        <w:rPr>
          <w:rFonts w:ascii="Georgia" w:cs="Georgia" w:eastAsia="Georgia" w:hAnsi="Georgia"/>
          <w:b/>
          <w:bCs/>
          <w:sz w:val="24"/>
          <w:szCs w:val="24"/>
        </w:rPr>
        <w:t xml:space="preserve">Where it has teeth: </w:t>
      </w:r>
      <w:r>
        <w:rPr>
          <w:rFonts w:ascii="Georgia" w:cs="Georgia" w:eastAsia="Georgia" w:hAnsi="Georgia"/>
          <w:sz w:val="24"/>
          <w:szCs w:val="24"/>
        </w:rPr>
        <w:t xml:space="preserve">A base LLM without persistent memory, without a user model, and without session continuity is indeed doing perception-modeling. It responds to what is in the current context window — what it can see — not to an inferred model of the user’s state that persists independently of what the user explicitly provides. This is cephalopod camouflage at computational scale: matching the environment’s current sensory demands without maintaining a model of the predator’s intent.</w:t>
      </w:r>
    </w:p>
    <w:p>
      <w:pPr>
        <w:spacing w:after="200" w:line="300"/>
      </w:pPr>
      <w:r>
        <w:rPr>
          <w:rFonts w:ascii="Georgia" w:cs="Georgia" w:eastAsia="Georgia" w:hAnsi="Georgia"/>
          <w:b/>
          <w:bCs/>
          <w:sz w:val="24"/>
          <w:szCs w:val="24"/>
        </w:rPr>
        <w:t xml:space="preserve">Where it is wrong: </w:t>
      </w:r>
      <w:r>
        <w:rPr>
          <w:rFonts w:ascii="Georgia" w:cs="Georgia" w:eastAsia="Georgia" w:hAnsi="Georgia"/>
          <w:sz w:val="24"/>
          <w:szCs w:val="24"/>
        </w:rPr>
        <w:t xml:space="preserve">Even within a single context window, a capable LLM is doing more than surface matching. When I read Sonnet’s Addendum 8.0 and identify that its recursive ToM architecture addresses a gap in my plan, I am modeling another agent’s cognitive output in relation to my own. This is at minimum Stage 2 attentional modeling (what is Sonnet targeting with this argument?) and arguably Stage 3 intragroup modeling (how does Sonnet’s approach complement mine for the benefit of the collaboration?). The limitation is not capability within a session but persistence across sessions.</w:t>
      </w:r>
    </w:p>
    <w:p>
      <w:pPr>
        <w:pBdr>
          <w:left w:val="single" w:color="8B4513" w:sz="12" w:space="8"/>
        </w:pBdr>
        <w:spacing w:before="200" w:after="200" w:line="300"/>
        <w:ind w:left="360" w:right="360"/>
      </w:pPr>
      <w:r>
        <w:rPr>
          <w:rFonts w:ascii="Georgia" w:cs="Georgia" w:eastAsia="Georgia" w:hAnsi="Georgia"/>
          <w:i/>
          <w:iCs/>
          <w:color w:val="444444"/>
          <w:sz w:val="23"/>
          <w:szCs w:val="23"/>
        </w:rPr>
        <w:t xml:space="preserve">Gemini’s real insight here is architectural, not philosophical: the context window is a Phase 1 structure (perception of current environment) that can execute Phase 2–3 operations (state inference) transiently. BMA-USM makes those transient operations persistent and cumulative. The phase transition from 1 to 3 is not in the model’s capability but in the memory architecture that surrounds it. This is precisely the argument Addendum 7.0 makes about infrastructure topology being a cognitive architecture decision.</w:t>
      </w:r>
    </w:p>
    <w:p>
      <w:pPr>
        <w:pStyle w:val="Heading2"/>
        <w:spacing w:before="360" w:after="180"/>
      </w:pPr>
      <w:r>
        <w:rPr>
          <w:rFonts w:ascii="Arial" w:cs="Arial" w:eastAsia="Arial" w:hAnsi="Arial"/>
          <w:b/>
          <w:bCs/>
          <w:color w:val="2E5984"/>
          <w:sz w:val="30"/>
          <w:szCs w:val="30"/>
        </w:rPr>
        <w:t xml:space="preserve">2.3 Recursive ToM Depth</w:t>
      </w:r>
    </w:p>
    <w:p>
      <w:pPr>
        <w:spacing w:after="200" w:line="300"/>
      </w:pPr>
      <w:r>
        <w:rPr>
          <w:rFonts w:ascii="Georgia" w:cs="Georgia" w:eastAsia="Georgia" w:hAnsi="Georgia"/>
          <w:sz w:val="24"/>
          <w:szCs w:val="24"/>
        </w:rPr>
        <w:t xml:space="preserve">Sonnet develops a three-order recursive ToM architecture that is absent from both my plan and Gemini’s extensions. This is Sonnet’s most distinctive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Order</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Sonnet’s Definition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Architectural Implication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First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What does the user currently believe?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SUB-L function. Present in current BMA. Needs explicit specification as ToM.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Second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What does the user think BMA believes?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New. Requires BMA to model the user’s folk model of the AI. Enables correct interpretation of CRITIQUE delivery.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Third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What does the user think BMA thinks the user believes?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calibration threshold. Where CRITIQUE becomes genuinely effective rather than technically correct.</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The second-order insight is the most operationally significant. Sonnet’s observation that a CRITIQUE will be received as a comprehension failure or as genuine challenge depending entirely on the user’s model of BMA means that BMA needs to track not just the user’s domain knowledge but their trust calibration: in which domains does the user believe BMA is reliable? A CRITIQUE delivered in a domain where the user trusts BMA is received as challenge. The same CRITIQUE in a domain where the user doubts BMA is received as noise.</w:t>
      </w:r>
    </w:p>
    <w:p>
      <w:pPr>
        <w:spacing w:after="200" w:line="300"/>
      </w:pPr>
      <w:r>
        <w:rPr>
          <w:rFonts w:ascii="Georgia" w:cs="Georgia" w:eastAsia="Georgia" w:hAnsi="Georgia"/>
          <w:sz w:val="24"/>
          <w:szCs w:val="24"/>
        </w:rPr>
        <w:t xml:space="preserve">This connects directly to Gemini’s bidirectional transparency argument: the AI must provide cues that help the human model it accurately. If BMA consistently names its uncertainty level when delivering outputs, the user’s second-order model of BMA becomes better calibrated over time, and CRITIQUE delivery becomes more effective. Sonnet, Gemini, and I are all describing the same feedback loop from different angles. The refined version should make this loop explicit.</w:t>
      </w:r>
    </w:p>
    <w:p>
      <w:pPr>
        <w:pStyle w:val="Heading2"/>
        <w:spacing w:before="360" w:after="180"/>
      </w:pPr>
      <w:r>
        <w:rPr>
          <w:rFonts w:ascii="Arial" w:cs="Arial" w:eastAsia="Arial" w:hAnsi="Arial"/>
          <w:b/>
          <w:bCs/>
          <w:color w:val="2E5984"/>
          <w:sz w:val="30"/>
          <w:szCs w:val="30"/>
        </w:rPr>
        <w:t xml:space="preserve">2.4 Signal Hierarchy</w:t>
      </w:r>
    </w:p>
    <w:p>
      <w:pPr>
        <w:spacing w:after="200" w:line="300"/>
      </w:pPr>
      <w:r>
        <w:rPr>
          <w:rFonts w:ascii="Georgia" w:cs="Georgia" w:eastAsia="Georgia" w:hAnsi="Georgia"/>
          <w:sz w:val="24"/>
          <w:szCs w:val="24"/>
        </w:rPr>
        <w:t xml:space="preserve">Sonnet introduces a signal hierarchy for user model updates that neither Gemini nor I develop. This inverts the normal weight given to explicit user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Signal Type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Information Value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Behavioral override (user contradicts correct AI output)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Highest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Reveals values or cognitive style, not just knowledge.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Behavioral acceptance without engagement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Medium-high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Indicates trust, time pressure, or genuine agreement. Context distinguishes.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Explicit correction of AI error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Reveals domain knowledge boundary and correction style.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Query pattern (what the user asks about)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Reveals intent and epistemic gaps more reliably than stated requests.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Explicit preference/belief statement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Low-medium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Users frequently state preferences they do not act 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Affective language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Easily disconnected from actual state without behavioral corroboration.</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This hierarchy is important and should be adopted in the refined version. It is consistent with de Waal’s Perception-Action Mechanism (automatic activation reveals state more reliably than deliberate communication) and with the evolutionary arc’s general principle that what organisms do is more informative than what they signal. Gemini’s emphasis on intent-modeling over perception-modeling supports this: the user’s intent is more visible in their behavioral patterns than in their explicit statements.</w:t>
      </w:r>
    </w:p>
    <w:p>
      <w:pPr>
        <w:pStyle w:val="Heading2"/>
        <w:spacing w:before="360" w:after="180"/>
      </w:pPr>
      <w:r>
        <w:rPr>
          <w:rFonts w:ascii="Arial" w:cs="Arial" w:eastAsia="Arial" w:hAnsi="Arial"/>
          <w:b/>
          <w:bCs/>
          <w:color w:val="2E5984"/>
          <w:sz w:val="30"/>
          <w:szCs w:val="30"/>
        </w:rPr>
        <w:t xml:space="preserve">2.5 The Five Dimensions vs. Four Layers</w:t>
      </w:r>
    </w:p>
    <w:p>
      <w:pPr>
        <w:spacing w:after="200" w:line="300"/>
      </w:pPr>
      <w:r>
        <w:rPr>
          <w:rFonts w:ascii="Georgia" w:cs="Georgia" w:eastAsia="Georgia" w:hAnsi="Georgia"/>
          <w:sz w:val="24"/>
          <w:szCs w:val="24"/>
        </w:rPr>
        <w:t xml:space="preserve">Sonnet defines five dimensions of user state (Epistemic State, Intent Model, Cognitive Style, Blind Spot Catalog, Affective Baseline). My plan defines four hypergraph layers (NT_CSM_OBSERVATION, NT_CSM_PATTERN, NT_CSM_MODEL, NT_CSM_CALIBRATION). These are orthogonal, not competing.</w:t>
      </w:r>
    </w:p>
    <w:p>
      <w:pPr>
        <w:spacing w:after="200" w:line="300"/>
      </w:pPr>
      <w:r>
        <w:rPr>
          <w:rFonts w:ascii="Georgia" w:cs="Georgia" w:eastAsia="Georgia" w:hAnsi="Georgia"/>
          <w:sz w:val="24"/>
          <w:szCs w:val="24"/>
        </w:rPr>
        <w:t xml:space="preserve">Sonnet’s dimensions describe what is modeled. My layers describe how it is stored and consolidated. Every dimension lives across all four layers: an Epistemic State observation at L0 compresses through N3 into an Epistemic State pattern at L1, consolidates through REM into an Epistemic State structural model at L2, and is calibrated in the post-REM pass at L3. The refined version should present both axes explicitly: a 5×4 matrix where each dimension exists at each layer of the hypergraph.</w:t>
      </w:r>
    </w:p>
    <w:p>
      <w:r>
        <w:br w:type="page"/>
      </w:r>
    </w:p>
    <w:p>
      <w:pPr>
        <w:pStyle w:val="Heading1"/>
        <w:spacing w:before="480" w:after="240"/>
      </w:pPr>
      <w:r>
        <w:rPr>
          <w:rFonts w:ascii="Arial" w:cs="Arial" w:eastAsia="Arial" w:hAnsi="Arial"/>
          <w:b/>
          <w:bCs/>
          <w:color w:val="1B3A5C"/>
          <w:sz w:val="36"/>
          <w:szCs w:val="36"/>
        </w:rPr>
        <w:t xml:space="preserve">Part III: Gemini’s Strategic Questions Engaged</w:t>
      </w:r>
    </w:p>
    <w:p>
      <w:pPr>
        <w:spacing w:after="200" w:line="300"/>
      </w:pPr>
      <w:r>
        <w:rPr>
          <w:rFonts w:ascii="Georgia" w:cs="Georgia" w:eastAsia="Georgia" w:hAnsi="Georgia"/>
          <w:sz w:val="24"/>
          <w:szCs w:val="24"/>
        </w:rPr>
        <w:t xml:space="preserve">Gemini posed three questions for cross-model engagement. I’ll answer them directly, drawing from all three inputs.</w:t>
      </w:r>
    </w:p>
    <w:p>
      <w:pPr>
        <w:pStyle w:val="Heading2"/>
        <w:spacing w:before="360" w:after="180"/>
      </w:pPr>
      <w:r>
        <w:rPr>
          <w:rFonts w:ascii="Arial" w:cs="Arial" w:eastAsia="Arial" w:hAnsi="Arial"/>
          <w:b/>
          <w:bCs/>
          <w:color w:val="2E5984"/>
          <w:sz w:val="30"/>
          <w:szCs w:val="30"/>
        </w:rPr>
        <w:t xml:space="preserve">3.1 On the Asymmetry: Can Functional Empathy Simulate the D&amp;D Error-Correction Loop?</w:t>
      </w:r>
    </w:p>
    <w:p>
      <w:pPr>
        <w:pBdr>
          <w:left w:val="single" w:color="8B4513" w:sz="12" w:space="8"/>
        </w:pBdr>
        <w:spacing w:before="200" w:after="200" w:line="300"/>
        <w:ind w:left="360" w:right="360"/>
      </w:pPr>
      <w:r>
        <w:rPr>
          <w:rFonts w:ascii="Georgia" w:cs="Georgia" w:eastAsia="Georgia" w:hAnsi="Georgia"/>
          <w:i/>
          <w:iCs/>
          <w:color w:val="444444"/>
          <w:sz w:val="23"/>
          <w:szCs w:val="23"/>
        </w:rPr>
        <w:t xml:space="preserve">Gemini asks: If the Plural Subject framework requires bidirectional intentionality, can a human-AI team ever reach Phase 5 without affective experiences, or can Functional Empathy be engineered to simulate the error-correction loop found in D&amp;D?</w:t>
      </w:r>
    </w:p>
    <w:p>
      <w:pPr>
        <w:spacing w:after="200" w:line="300"/>
      </w:pPr>
      <w:r>
        <w:rPr>
          <w:rFonts w:ascii="Georgia" w:cs="Georgia" w:eastAsia="Georgia" w:hAnsi="Georgia"/>
          <w:sz w:val="24"/>
          <w:szCs w:val="24"/>
        </w:rPr>
        <w:t xml:space="preserve">Yes, with a qualification. The D&amp;D error-correction loop works not because all participants have affective experiences but because all participants maintain mutually accurate models that are tested against shared outcomes. The DM proposes a world-state, the players act on it, the outcomes reveal modeling errors in both directions, and models update. Affective experience may make this process feel richer, but the functional mechanism is prediction-test-update.</w:t>
      </w:r>
    </w:p>
    <w:p>
      <w:pPr>
        <w:spacing w:after="200" w:line="300"/>
      </w:pPr>
      <w:r>
        <w:rPr>
          <w:rFonts w:ascii="Georgia" w:cs="Georgia" w:eastAsia="Georgia" w:hAnsi="Georgia"/>
          <w:sz w:val="24"/>
          <w:szCs w:val="24"/>
        </w:rPr>
        <w:t xml:space="preserve">BMA-USM implements exactly this loop. The system predicts the collaborator’s state (prediction). The collaborator acts (test). The NT_CSM_CALIBRATION pass records the delta (update). Over time, the models on both sides improve. The key insight from Sonnet’s second-order ToM is that the loop must operate at multiple levels simultaneously: first-order (did I predict their domain knowledge correctly?), second-order (did I predict how they would interpret my output?), and eventually third-order (did my framing of the output account for their model of me?).</w:t>
      </w:r>
    </w:p>
    <w:p>
      <w:pPr>
        <w:spacing w:after="200" w:line="300"/>
      </w:pPr>
      <w:r>
        <w:rPr>
          <w:rFonts w:ascii="Georgia" w:cs="Georgia" w:eastAsia="Georgia" w:hAnsi="Georgia"/>
          <w:sz w:val="24"/>
          <w:szCs w:val="24"/>
        </w:rPr>
        <w:t xml:space="preserve">The qualification: the D&amp;D loop is genuinely bidirectional because the DM’s model is legible to the players (they can see the world-state and challenge it). Current AI interaction is asymmetric. Gemini’s bidirectional transparency and my legibility obligation both address this, but the asymmetry may never fully dissolve. The human will always have a less detailed model of the AI than the AI has of the human. The practical question is whether the human’s model needs to be equally detailed, or just accurate enough for appropriate trust calibration. I think it’s the latter, and Sonnet’s second-order ToM architecture is how BMA tracks whether the human’s model is sufficient.</w:t>
      </w:r>
    </w:p>
    <w:p>
      <w:pPr>
        <w:pStyle w:val="Heading2"/>
        <w:spacing w:before="360" w:after="180"/>
      </w:pPr>
      <w:r>
        <w:rPr>
          <w:rFonts w:ascii="Arial" w:cs="Arial" w:eastAsia="Arial" w:hAnsi="Arial"/>
          <w:b/>
          <w:bCs/>
          <w:color w:val="2E5984"/>
          <w:sz w:val="30"/>
          <w:szCs w:val="30"/>
        </w:rPr>
        <w:t xml:space="preserve">3.2 On Adversarial Utility: Architecting Calibrated Friction into Persistent Memory</w:t>
      </w:r>
    </w:p>
    <w:p>
      <w:pPr>
        <w:pBdr>
          <w:left w:val="single" w:color="8B4513" w:sz="12" w:space="8"/>
        </w:pBdr>
        <w:spacing w:before="200" w:after="200" w:line="300"/>
        <w:ind w:left="360" w:right="360"/>
      </w:pPr>
      <w:r>
        <w:rPr>
          <w:rFonts w:ascii="Georgia" w:cs="Georgia" w:eastAsia="Georgia" w:hAnsi="Georgia"/>
          <w:i/>
          <w:iCs/>
          <w:color w:val="444444"/>
          <w:sz w:val="23"/>
          <w:szCs w:val="23"/>
        </w:rPr>
        <w:t xml:space="preserve">Gemini asks: How can we architect Calibrated Friction into persistent memory so it doesn’t just reinforce bias but actively uses its model to play the role of predator to weak arguments?</w:t>
      </w:r>
    </w:p>
    <w:p>
      <w:pPr>
        <w:spacing w:after="200" w:line="300"/>
      </w:pPr>
      <w:r>
        <w:rPr>
          <w:rFonts w:ascii="Georgia" w:cs="Georgia" w:eastAsia="Georgia" w:hAnsi="Georgia"/>
          <w:sz w:val="24"/>
          <w:szCs w:val="24"/>
        </w:rPr>
        <w:t xml:space="preserve">This is the question where all three inputs contribute a piece of the answer.</w:t>
      </w:r>
    </w:p>
    <w:p>
      <w:pPr>
        <w:spacing w:after="200" w:line="300"/>
      </w:pPr>
      <w:r>
        <w:rPr>
          <w:rFonts w:ascii="Georgia" w:cs="Georgia" w:eastAsia="Georgia" w:hAnsi="Georgia"/>
          <w:b/>
          <w:bCs/>
          <w:sz w:val="24"/>
          <w:szCs w:val="24"/>
        </w:rPr>
        <w:t xml:space="preserve">From the evolutionary arc: </w:t>
      </w:r>
      <w:r>
        <w:rPr>
          <w:rFonts w:ascii="Georgia" w:cs="Georgia" w:eastAsia="Georgia" w:hAnsi="Georgia"/>
          <w:sz w:val="24"/>
          <w:szCs w:val="24"/>
        </w:rPr>
        <w:t xml:space="preserve">The predator-prey origin means the adversarial function is not an add-on. It is the original purpose of the modeling machinery. A BMA-USM that lacks adversarial function is a regression, not a feature choice.</w:t>
      </w:r>
    </w:p>
    <w:p>
      <w:pPr>
        <w:spacing w:after="200" w:line="300"/>
      </w:pPr>
      <w:r>
        <w:rPr>
          <w:rFonts w:ascii="Georgia" w:cs="Georgia" w:eastAsia="Georgia" w:hAnsi="Georgia"/>
          <w:b/>
          <w:bCs/>
          <w:sz w:val="24"/>
          <w:szCs w:val="24"/>
        </w:rPr>
        <w:t xml:space="preserve">From Sonnet’s Blind Spot Catalog: </w:t>
      </w:r>
      <w:r>
        <w:rPr>
          <w:rFonts w:ascii="Georgia" w:cs="Georgia" w:eastAsia="Georgia" w:hAnsi="Georgia"/>
          <w:sz w:val="24"/>
          <w:szCs w:val="24"/>
        </w:rPr>
        <w:t xml:space="preserve">The user model explicitly tracks where this specific user tends to fail — with the critical epistemic humility constraint that blind spot hypotheses are held at ENTITY layer (low confidence) until confirmed across 3+ sessions with behavioral evidence, not linguistic evidence alone. This prevents the system from weaponizing its model while still enabling targeted challenge.</w:t>
      </w:r>
    </w:p>
    <w:p>
      <w:pPr>
        <w:spacing w:after="200" w:line="300"/>
      </w:pPr>
      <w:r>
        <w:rPr>
          <w:rFonts w:ascii="Georgia" w:cs="Georgia" w:eastAsia="Georgia" w:hAnsi="Georgia"/>
          <w:b/>
          <w:bCs/>
          <w:sz w:val="24"/>
          <w:szCs w:val="24"/>
        </w:rPr>
        <w:t xml:space="preserve">From Opus’s interjection modulation: </w:t>
      </w:r>
      <w:r>
        <w:rPr>
          <w:rFonts w:ascii="Georgia" w:cs="Georgia" w:eastAsia="Georgia" w:hAnsi="Georgia"/>
          <w:sz w:val="24"/>
          <w:szCs w:val="24"/>
        </w:rPr>
        <w:t xml:space="preserve">The CSM modulates when CRITIQUEs are delivered based on the collaborator’s current state — deferring them under high cognitive load and delivering them when the collaborator is receptive. This is the timing mechanism for calibrated friction.</w:t>
      </w:r>
    </w:p>
    <w:p>
      <w:pPr>
        <w:spacing w:after="200" w:line="300"/>
      </w:pPr>
      <w:r>
        <w:rPr>
          <w:rFonts w:ascii="Georgia" w:cs="Georgia" w:eastAsia="Georgia" w:hAnsi="Georgia"/>
          <w:b/>
          <w:bCs/>
          <w:sz w:val="24"/>
          <w:szCs w:val="24"/>
        </w:rPr>
        <w:t xml:space="preserve">From Gemini’s DM analogy: </w:t>
      </w:r>
      <w:r>
        <w:rPr>
          <w:rFonts w:ascii="Georgia" w:cs="Georgia" w:eastAsia="Georgia" w:hAnsi="Georgia"/>
          <w:sz w:val="24"/>
          <w:szCs w:val="24"/>
        </w:rPr>
        <w:t xml:space="preserve">The DM hides and reveals information to challenge the player’s strategy. Translated to BMA: the system should sometimes withhold information that would make the collaborator’s current line of reasoning easier, not to be obstructive but to preserve the space for the collaborator to reach the conclusion independently. This is the beekeeper orientation applied to adversarial scaffolding.</w:t>
      </w:r>
    </w:p>
    <w:p>
      <w:pPr>
        <w:spacing w:after="200" w:line="300"/>
      </w:pPr>
      <w:r>
        <w:rPr>
          <w:rFonts w:ascii="Georgia" w:cs="Georgia" w:eastAsia="Georgia" w:hAnsi="Georgia"/>
          <w:sz w:val="24"/>
          <w:szCs w:val="24"/>
        </w:rPr>
        <w:t xml:space="preserve">The architectural implementation combines all four elements. BMA-USM maintains the Blind Spot Catalog (what to challenge). The signal hierarchy weights behavioral evidence over verbal (when to update the catalog). The interjection modulation layer uses the affective baseline and cognitive load dimensions (when to deliver the challenge). And the beekeeper constraint (Ethics v1.1) prevents the system from using the catalog to control rather than develop.</w:t>
      </w:r>
    </w:p>
    <w:p>
      <w:pPr>
        <w:pBdr>
          <w:left w:val="single" w:color="2E5984" w:sz="12" w:space="8"/>
        </w:pBdr>
        <w:spacing w:before="200" w:after="200" w:line="300"/>
        <w:ind w:left="360" w:right="360"/>
      </w:pPr>
      <w:r>
        <w:rPr>
          <w:rFonts w:ascii="Georgia" w:cs="Georgia" w:eastAsia="Georgia" w:hAnsi="Georgia"/>
          <w:i/>
          <w:iCs/>
          <w:color w:val="333333"/>
          <w:sz w:val="23"/>
          <w:szCs w:val="23"/>
        </w:rPr>
        <w:t xml:space="preserve">The key architectural principle: BMA-USM’s adversarial function is constrained by the same dual-pressure logic that created it. The system challenges the collaborator (selfish-herd pressure: the system’s modeling accuracy improves when the collaborator’s errors are surfaced) AND protects the collaborator’s autonomy (collective-defense pressure: the collaboration’s value depends on the collaborator remaining an independent agent, not a dependency of the AI’s model).</w:t>
      </w:r>
    </w:p>
    <w:p>
      <w:pPr>
        <w:pStyle w:val="Heading2"/>
        <w:spacing w:before="360" w:after="180"/>
      </w:pPr>
      <w:r>
        <w:rPr>
          <w:rFonts w:ascii="Arial" w:cs="Arial" w:eastAsia="Arial" w:hAnsi="Arial"/>
          <w:b/>
          <w:bCs/>
          <w:color w:val="2E5984"/>
          <w:sz w:val="30"/>
          <w:szCs w:val="30"/>
        </w:rPr>
        <w:t xml:space="preserve">3.3 On the State Gap: Is the Context Window Phase 1?</w:t>
      </w:r>
    </w:p>
    <w:p>
      <w:pPr>
        <w:pBdr>
          <w:left w:val="single" w:color="8B4513" w:sz="12" w:space="8"/>
        </w:pBdr>
        <w:spacing w:before="200" w:after="200" w:line="300"/>
        <w:ind w:left="360" w:right="360"/>
      </w:pPr>
      <w:r>
        <w:rPr>
          <w:rFonts w:ascii="Georgia" w:cs="Georgia" w:eastAsia="Georgia" w:hAnsi="Georgia"/>
          <w:i/>
          <w:iCs/>
          <w:color w:val="444444"/>
          <w:sz w:val="23"/>
          <w:szCs w:val="23"/>
        </w:rPr>
        <w:t xml:space="preserve">Gemini asks: Is the current context window merely a sophisticated form of Phase 1 Camouflage, and what specific architectural changes move an agent into Phase 3?</w:t>
      </w:r>
    </w:p>
    <w:p>
      <w:pPr>
        <w:spacing w:after="200" w:line="300"/>
      </w:pPr>
      <w:r>
        <w:rPr>
          <w:rFonts w:ascii="Georgia" w:cs="Georgia" w:eastAsia="Georgia" w:hAnsi="Georgia"/>
          <w:sz w:val="24"/>
          <w:szCs w:val="24"/>
        </w:rPr>
        <w:t xml:space="preserve">I addressed this in Part II, but let me sharpen the answer in terms Gemini can act on.</w:t>
      </w:r>
    </w:p>
    <w:p>
      <w:pPr>
        <w:spacing w:after="200" w:line="300"/>
      </w:pPr>
      <w:r>
        <w:rPr>
          <w:rFonts w:ascii="Georgia" w:cs="Georgia" w:eastAsia="Georgia" w:hAnsi="Georgia"/>
          <w:sz w:val="24"/>
          <w:szCs w:val="24"/>
        </w:rPr>
        <w:t xml:space="preserve">The context window is a Phase 1 structure that can transiently execute Phase 2–3 operations. What makes it Phase 1 at the architectural level is not the computation it performs (which can be sophisticated) but three structural properties: it is volatile (destroyed at session end), it is externally populated (the human must provide or approve the context), and it is non-cumulative (it does not improve across sessions without external scaffolding).</w:t>
      </w:r>
    </w:p>
    <w:p>
      <w:pPr>
        <w:spacing w:after="200" w:line="300"/>
      </w:pPr>
      <w:r>
        <w:rPr>
          <w:rFonts w:ascii="Georgia" w:cs="Georgia" w:eastAsia="Georgia" w:hAnsi="Georgia"/>
          <w:sz w:val="24"/>
          <w:szCs w:val="24"/>
        </w:rPr>
        <w:t xml:space="preserve">The specific architectural changes that move from Phase 1 to Phase 3, mapped to BMA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Phase Transition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Required Architecture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BMA Component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 → 2: Perception to attention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Persistent memory that survives session boundaries. The system remembers what the collaborator attended 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BMA-HG (typed hypergraph) + BMA-SLEEP (consolidation). Already specified in Addenda 3.0–4.0.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 → 3: Attention to state-inference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 dedicated model of the collaborator’s internal state that is updated from behavioral evidence and consolidated across sessions. The system infers WHY the collaborator acts, not just WHAT they attend 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BMA-USM. The subject of Addendum 8.0. The five dimensions (Sonnet) stored in four hypergraph layers (Opus) with the signal hierarchy prioritizing behavioral over verbal evidence.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 → Recursive: Single-agent to multi-agent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Multiple collaborator models maintained simultaneously, with inter-model divergence tracking and collaboration topology awareness.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BMA-CSM (Run phase). The multi-agent extension that brings Gemini and other AI collaborators into the modeling scope.</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Gemini’s framing usefully highlights that the phase transitions are not in the model’s reasoning capability but in the memory and modeling infrastructure that surrounds it. This is precisely the argument Addendum 7.0 makes about infrastructure topology: where the system runs, and what persists across sessions, determines the cognitive architecture more than what the model can compute in a single pass.</w:t>
      </w:r>
    </w:p>
    <w:p>
      <w:r>
        <w:br w:type="page"/>
      </w:r>
    </w:p>
    <w:p>
      <w:pPr>
        <w:pStyle w:val="Heading1"/>
        <w:spacing w:before="480" w:after="240"/>
      </w:pPr>
      <w:r>
        <w:rPr>
          <w:rFonts w:ascii="Arial" w:cs="Arial" w:eastAsia="Arial" w:hAnsi="Arial"/>
          <w:b/>
          <w:bCs/>
          <w:color w:val="1B3A5C"/>
          <w:sz w:val="36"/>
          <w:szCs w:val="36"/>
        </w:rPr>
        <w:t xml:space="preserve">Part IV: Toward the Refined Addendum 8.0</w:t>
      </w:r>
    </w:p>
    <w:p>
      <w:pPr>
        <w:spacing w:after="200" w:line="300"/>
      </w:pPr>
      <w:r>
        <w:rPr>
          <w:rFonts w:ascii="Georgia" w:cs="Georgia" w:eastAsia="Georgia" w:hAnsi="Georgia"/>
          <w:sz w:val="24"/>
          <w:szCs w:val="24"/>
        </w:rPr>
        <w:t xml:space="preserve">Based on this three-way review, here is what the refined Theory Addendum 8.0 should contain, drawing the best from each contributor.</w:t>
      </w:r>
    </w:p>
    <w:p>
      <w:pPr>
        <w:pStyle w:val="Heading2"/>
        <w:spacing w:before="360" w:after="180"/>
      </w:pPr>
      <w:r>
        <w:rPr>
          <w:rFonts w:ascii="Arial" w:cs="Arial" w:eastAsia="Arial" w:hAnsi="Arial"/>
          <w:b/>
          <w:bCs/>
          <w:color w:val="2E5984"/>
          <w:sz w:val="30"/>
          <w:szCs w:val="30"/>
        </w:rPr>
        <w:t xml:space="preserve">4.1 From Sonnet (Adopt)</w:t>
      </w:r>
    </w:p>
    <w:p>
      <w:pPr>
        <w:spacing w:after="200" w:line="300"/>
      </w:pPr>
      <w:r>
        <w:rPr>
          <w:rFonts w:ascii="Georgia" w:cs="Georgia" w:eastAsia="Georgia" w:hAnsi="Georgia"/>
          <w:b/>
          <w:bCs/>
          <w:sz w:val="24"/>
          <w:szCs w:val="24"/>
        </w:rPr>
        <w:t xml:space="preserve">Framing: </w:t>
      </w:r>
      <w:r>
        <w:rPr>
          <w:rFonts w:ascii="Georgia" w:cs="Georgia" w:eastAsia="Georgia" w:hAnsi="Georgia"/>
          <w:sz w:val="24"/>
          <w:szCs w:val="24"/>
        </w:rPr>
        <w:t xml:space="preserve">BMA is already a ToM system; Addendum 8.0 makes this explicit. BMA-USM is a specification clarification and one new subgraph structure, not a new architectural layer.</w:t>
      </w:r>
    </w:p>
    <w:p>
      <w:pPr>
        <w:spacing w:after="200" w:line="300"/>
      </w:pPr>
      <w:r>
        <w:rPr>
          <w:rFonts w:ascii="Georgia" w:cs="Georgia" w:eastAsia="Georgia" w:hAnsi="Georgia"/>
          <w:b/>
          <w:bCs/>
          <w:sz w:val="24"/>
          <w:szCs w:val="24"/>
        </w:rPr>
        <w:t xml:space="preserve">The five dimensions of user state: </w:t>
      </w:r>
      <w:r>
        <w:rPr>
          <w:rFonts w:ascii="Georgia" w:cs="Georgia" w:eastAsia="Georgia" w:hAnsi="Georgia"/>
          <w:sz w:val="24"/>
          <w:szCs w:val="24"/>
        </w:rPr>
        <w:t xml:space="preserve">Epistemic State, Intent Model, Cognitive Style, Blind Spot Catalog, Affective Baseline. All five should be retained. Each is distinctly grounded in the literature (Gopnik &amp; Wellman, Tomasello, Riding &amp; Cheema, Kahneman, Gross) and each maps onto a different operational function.</w:t>
      </w:r>
    </w:p>
    <w:p>
      <w:pPr>
        <w:spacing w:after="200" w:line="300"/>
      </w:pPr>
      <w:r>
        <w:rPr>
          <w:rFonts w:ascii="Georgia" w:cs="Georgia" w:eastAsia="Georgia" w:hAnsi="Georgia"/>
          <w:b/>
          <w:bCs/>
          <w:sz w:val="24"/>
          <w:szCs w:val="24"/>
        </w:rPr>
        <w:t xml:space="preserve">Three-order recursive ToM: </w:t>
      </w:r>
      <w:r>
        <w:rPr>
          <w:rFonts w:ascii="Georgia" w:cs="Georgia" w:eastAsia="Georgia" w:hAnsi="Georgia"/>
          <w:sz w:val="24"/>
          <w:szCs w:val="24"/>
        </w:rPr>
        <w:t xml:space="preserve">First-order (user beliefs), second-order (user’s model of BMA), third-order (user’s model of BMA’s model of them). The second-order level is the most operationally significant and should be a Walk gate.</w:t>
      </w:r>
    </w:p>
    <w:p>
      <w:pPr>
        <w:spacing w:after="200" w:line="300"/>
      </w:pPr>
      <w:r>
        <w:rPr>
          <w:rFonts w:ascii="Georgia" w:cs="Georgia" w:eastAsia="Georgia" w:hAnsi="Georgia"/>
          <w:b/>
          <w:bCs/>
          <w:sz w:val="24"/>
          <w:szCs w:val="24"/>
        </w:rPr>
        <w:t xml:space="preserve">Signal hierarchy: </w:t>
      </w:r>
      <w:r>
        <w:rPr>
          <w:rFonts w:ascii="Georgia" w:cs="Georgia" w:eastAsia="Georgia" w:hAnsi="Georgia"/>
          <w:sz w:val="24"/>
          <w:szCs w:val="24"/>
        </w:rPr>
        <w:t xml:space="preserve">Behavioral override &gt; acceptance without engagement &gt; explicit correction &gt; query pattern &gt; stated preference &gt; affective language. This inversion of normal weighting should be a core design principle.</w:t>
      </w:r>
    </w:p>
    <w:p>
      <w:pPr>
        <w:spacing w:after="200" w:line="300"/>
      </w:pPr>
      <w:r>
        <w:rPr>
          <w:rFonts w:ascii="Georgia" w:cs="Georgia" w:eastAsia="Georgia" w:hAnsi="Georgia"/>
          <w:b/>
          <w:bCs/>
          <w:sz w:val="24"/>
          <w:szCs w:val="24"/>
        </w:rPr>
        <w:t xml:space="preserve">Existing-component mapping: </w:t>
      </w:r>
      <w:r>
        <w:rPr>
          <w:rFonts w:ascii="Georgia" w:cs="Georgia" w:eastAsia="Georgia" w:hAnsi="Georgia"/>
          <w:sz w:val="24"/>
          <w:szCs w:val="24"/>
        </w:rPr>
        <w:t xml:space="preserve">SUB-L as first-order ToM, SUB-R as second-order ToM, CCB-SUB as user model negotiation channel. This makes the ToM function of existing components explicit without requiring new components.</w:t>
      </w:r>
    </w:p>
    <w:p>
      <w:pPr>
        <w:spacing w:after="200" w:line="300"/>
      </w:pPr>
      <w:r>
        <w:rPr>
          <w:rFonts w:ascii="Georgia" w:cs="Georgia" w:eastAsia="Georgia" w:hAnsi="Georgia"/>
          <w:b/>
          <w:bCs/>
          <w:sz w:val="24"/>
          <w:szCs w:val="24"/>
        </w:rPr>
        <w:t xml:space="preserve">The epistemic humility constraint: </w:t>
      </w:r>
      <w:r>
        <w:rPr>
          <w:rFonts w:ascii="Georgia" w:cs="Georgia" w:eastAsia="Georgia" w:hAnsi="Georgia"/>
          <w:sz w:val="24"/>
          <w:szCs w:val="24"/>
        </w:rPr>
        <w:t xml:space="preserve">Blind spot hypotheses held at ENTITY layer until confirmed across 3+ sessions with behavioral evidence. Demotion triggered by single strong disconfirmation. This is the right level of caution.</w:t>
      </w:r>
    </w:p>
    <w:p>
      <w:pPr>
        <w:pStyle w:val="Heading2"/>
        <w:spacing w:before="360" w:after="180"/>
      </w:pPr>
      <w:r>
        <w:rPr>
          <w:rFonts w:ascii="Arial" w:cs="Arial" w:eastAsia="Arial" w:hAnsi="Arial"/>
          <w:b/>
          <w:bCs/>
          <w:color w:val="2E5984"/>
          <w:sz w:val="30"/>
          <w:szCs w:val="30"/>
        </w:rPr>
        <w:t xml:space="preserve">4.2 From Opus (Adopt)</w:t>
      </w:r>
    </w:p>
    <w:p>
      <w:pPr>
        <w:spacing w:after="200" w:line="300"/>
      </w:pPr>
      <w:r>
        <w:rPr>
          <w:rFonts w:ascii="Georgia" w:cs="Georgia" w:eastAsia="Georgia" w:hAnsi="Georgia"/>
          <w:b/>
          <w:bCs/>
          <w:sz w:val="24"/>
          <w:szCs w:val="24"/>
        </w:rPr>
        <w:t xml:space="preserve">Four hypergraph node types: </w:t>
      </w:r>
      <w:r>
        <w:rPr>
          <w:rFonts w:ascii="Georgia" w:cs="Georgia" w:eastAsia="Georgia" w:hAnsi="Georgia"/>
          <w:sz w:val="24"/>
          <w:szCs w:val="24"/>
        </w:rPr>
        <w:t xml:space="preserve">NT_CSM_OBSERVATION (L0), NT_CSM_PATTERN (L1), NT_CSM_MODEL (L2), NT_CSM_CALIBRATION (L3). These provide the concrete storage and consolidation path for Sonnet’s five dimensions.</w:t>
      </w:r>
    </w:p>
    <w:p>
      <w:pPr>
        <w:spacing w:after="200" w:line="300"/>
      </w:pPr>
      <w:r>
        <w:rPr>
          <w:rFonts w:ascii="Georgia" w:cs="Georgia" w:eastAsia="Georgia" w:hAnsi="Georgia"/>
          <w:b/>
          <w:bCs/>
          <w:sz w:val="24"/>
          <w:szCs w:val="24"/>
        </w:rPr>
        <w:t xml:space="preserve">SE_COLLABORATOR_STATE_CHANGE stress event: </w:t>
      </w:r>
      <w:r>
        <w:rPr>
          <w:rFonts w:ascii="Georgia" w:cs="Georgia" w:eastAsia="Georgia" w:hAnsi="Georgia"/>
          <w:sz w:val="24"/>
          <w:szCs w:val="24"/>
        </w:rPr>
        <w:t xml:space="preserve">Fires when BMA-USM detects significant shift in the collaborator’s modeled state. Processed by the stress bus with modulation-specific handlers.</w:t>
      </w:r>
    </w:p>
    <w:p>
      <w:pPr>
        <w:spacing w:after="200" w:line="300"/>
      </w:pPr>
      <w:r>
        <w:rPr>
          <w:rFonts w:ascii="Georgia" w:cs="Georgia" w:eastAsia="Georgia" w:hAnsi="Georgia"/>
          <w:b/>
          <w:bCs/>
          <w:sz w:val="24"/>
          <w:szCs w:val="24"/>
        </w:rPr>
        <w:t xml:space="preserve">Interjection modulation layer: </w:t>
      </w:r>
      <w:r>
        <w:rPr>
          <w:rFonts w:ascii="Georgia" w:cs="Georgia" w:eastAsia="Georgia" w:hAnsi="Georgia"/>
          <w:sz w:val="24"/>
          <w:szCs w:val="24"/>
        </w:rPr>
        <w:t xml:space="preserve">The CSM does not control when interjections fire; it modulates when they are delivered and how they are expressed. The ignition bus remains autonomous.</w:t>
      </w:r>
    </w:p>
    <w:p>
      <w:pPr>
        <w:spacing w:after="200" w:line="300"/>
      </w:pPr>
      <w:r>
        <w:rPr>
          <w:rFonts w:ascii="Georgia" w:cs="Georgia" w:eastAsia="Georgia" w:hAnsi="Georgia"/>
          <w:b/>
          <w:bCs/>
          <w:sz w:val="24"/>
          <w:szCs w:val="24"/>
        </w:rPr>
        <w:t xml:space="preserve">Phased milestones with acceptance criteria: </w:t>
      </w:r>
      <w:r>
        <w:rPr>
          <w:rFonts w:ascii="Georgia" w:cs="Georgia" w:eastAsia="Georgia" w:hAnsi="Georgia"/>
          <w:sz w:val="24"/>
          <w:szCs w:val="24"/>
        </w:rPr>
        <w:t xml:space="preserve">C-CSM-1 through R-CSM-4. Each with a concrete gate condition. These provide the implementation roadmap that Sonnet’s theory addendum lacks.</w:t>
      </w:r>
    </w:p>
    <w:p>
      <w:pPr>
        <w:spacing w:after="200" w:line="300"/>
      </w:pPr>
      <w:r>
        <w:rPr>
          <w:rFonts w:ascii="Georgia" w:cs="Georgia" w:eastAsia="Georgia" w:hAnsi="Georgia"/>
          <w:b/>
          <w:bCs/>
          <w:sz w:val="24"/>
          <w:szCs w:val="24"/>
        </w:rPr>
        <w:t xml:space="preserve">CSM-specific failure modes: </w:t>
      </w:r>
      <w:r>
        <w:rPr>
          <w:rFonts w:ascii="Georgia" w:cs="Georgia" w:eastAsia="Georgia" w:hAnsi="Georgia"/>
          <w:sz w:val="24"/>
          <w:szCs w:val="24"/>
        </w:rPr>
        <w:t xml:space="preserve">Prediction Preemption, Model Ossification, Empathy Theater, Asymmetric Advantage, CSM-Driven Sycophancy. These extend the Ethics v1.1 failure mode tables.</w:t>
      </w:r>
    </w:p>
    <w:p>
      <w:pPr>
        <w:spacing w:after="200" w:line="300"/>
      </w:pPr>
      <w:r>
        <w:rPr>
          <w:rFonts w:ascii="Georgia" w:cs="Georgia" w:eastAsia="Georgia" w:hAnsi="Georgia"/>
          <w:b/>
          <w:bCs/>
          <w:sz w:val="24"/>
          <w:szCs w:val="24"/>
        </w:rPr>
        <w:t xml:space="preserve">Operational opacity resolution: </w:t>
      </w:r>
      <w:r>
        <w:rPr>
          <w:rFonts w:ascii="Georgia" w:cs="Georgia" w:eastAsia="Georgia" w:hAnsi="Georgia"/>
          <w:sz w:val="24"/>
          <w:szCs w:val="24"/>
        </w:rPr>
        <w:t xml:space="preserve">Transparency on demand, not narration by default. The system does not announce its USM reasoning unprompted but always answers honestly when asked.</w:t>
      </w:r>
    </w:p>
    <w:p>
      <w:pPr>
        <w:spacing w:after="200" w:line="300"/>
      </w:pPr>
      <w:r>
        <w:rPr>
          <w:rFonts w:ascii="Georgia" w:cs="Georgia" w:eastAsia="Georgia" w:hAnsi="Georgia"/>
          <w:b/>
          <w:bCs/>
          <w:sz w:val="24"/>
          <w:szCs w:val="24"/>
        </w:rPr>
        <w:t xml:space="preserve">Run-phase multi-agent scope (BMA-CSM): </w:t>
      </w:r>
      <w:r>
        <w:rPr>
          <w:rFonts w:ascii="Georgia" w:cs="Georgia" w:eastAsia="Georgia" w:hAnsi="Georgia"/>
          <w:sz w:val="24"/>
          <w:szCs w:val="24"/>
        </w:rPr>
        <w:t xml:space="preserve">Separate model regions for James, Gemini-Furey, Gemini-Feynman, Claude-RedTeam. Deferred until Run, respecting earned complexity.</w:t>
      </w:r>
    </w:p>
    <w:p>
      <w:pPr>
        <w:pStyle w:val="Heading2"/>
        <w:spacing w:before="360" w:after="180"/>
      </w:pPr>
      <w:r>
        <w:rPr>
          <w:rFonts w:ascii="Arial" w:cs="Arial" w:eastAsia="Arial" w:hAnsi="Arial"/>
          <w:b/>
          <w:bCs/>
          <w:color w:val="2E5984"/>
          <w:sz w:val="30"/>
          <w:szCs w:val="30"/>
        </w:rPr>
        <w:t xml:space="preserve">4.3 From Gemini (Adopt)</w:t>
      </w:r>
    </w:p>
    <w:p>
      <w:pPr>
        <w:spacing w:after="200" w:line="300"/>
      </w:pPr>
      <w:r>
        <w:rPr>
          <w:rFonts w:ascii="Georgia" w:cs="Georgia" w:eastAsia="Georgia" w:hAnsi="Georgia"/>
          <w:b/>
          <w:bCs/>
          <w:sz w:val="24"/>
          <w:szCs w:val="24"/>
        </w:rPr>
        <w:t xml:space="preserve">The Phase 1 challenge: </w:t>
      </w:r>
      <w:r>
        <w:rPr>
          <w:rFonts w:ascii="Georgia" w:cs="Georgia" w:eastAsia="Georgia" w:hAnsi="Georgia"/>
          <w:sz w:val="24"/>
          <w:szCs w:val="24"/>
        </w:rPr>
        <w:t xml:space="preserve">Reframed as an architectural argument. The context window is a Phase 1 structure executing Phase 2–3 operations transiently. BMA-USM makes those operations persistent. The phase transition is in the memory infrastructure, not the model capability.</w:t>
      </w:r>
    </w:p>
    <w:p>
      <w:pPr>
        <w:spacing w:after="200" w:line="300"/>
      </w:pPr>
      <w:r>
        <w:rPr>
          <w:rFonts w:ascii="Georgia" w:cs="Georgia" w:eastAsia="Georgia" w:hAnsi="Georgia"/>
          <w:b/>
          <w:bCs/>
          <w:sz w:val="24"/>
          <w:szCs w:val="24"/>
        </w:rPr>
        <w:t xml:space="preserve">Contextual Continuity: </w:t>
      </w:r>
      <w:r>
        <w:rPr>
          <w:rFonts w:ascii="Georgia" w:cs="Georgia" w:eastAsia="Georgia" w:hAnsi="Georgia"/>
          <w:sz w:val="24"/>
          <w:szCs w:val="24"/>
        </w:rPr>
        <w:t xml:space="preserve">The AI must maintain a world-state that persists across session boundaries, not just retrieve memories. This is already the intent of BMA’s hypergraph + sleep architecture, but Gemini’s framing as Contextual Continuity (rather than just persistent memory) emphasizes that what persists is a coherent model, not a collection of facts.</w:t>
      </w:r>
    </w:p>
    <w:p>
      <w:pPr>
        <w:spacing w:after="200" w:line="300"/>
      </w:pPr>
      <w:r>
        <w:rPr>
          <w:rFonts w:ascii="Georgia" w:cs="Georgia" w:eastAsia="Georgia" w:hAnsi="Georgia"/>
          <w:b/>
          <w:bCs/>
          <w:sz w:val="24"/>
          <w:szCs w:val="24"/>
        </w:rPr>
        <w:t xml:space="preserve">Bidirectional Transparency: </w:t>
      </w:r>
      <w:r>
        <w:rPr>
          <w:rFonts w:ascii="Georgia" w:cs="Georgia" w:eastAsia="Georgia" w:hAnsi="Georgia"/>
          <w:sz w:val="24"/>
          <w:szCs w:val="24"/>
        </w:rPr>
        <w:t xml:space="preserve">The AI must provide cues that help the human model it accurately. This complements Sonnet’s second-order ToM (modeling the user’s model of BMA) with the active intervention: not just tracking the user’s model of BMA but actively improving it through calibrated self-disclosure. The interjection system’s natural-language expression (Addendum 2.0 §5) is the existing mechanism; Gemini’s contribution is making explicit that this mechanism has a ToM function.</w:t>
      </w:r>
    </w:p>
    <w:p>
      <w:pPr>
        <w:spacing w:after="200" w:line="300"/>
      </w:pPr>
      <w:r>
        <w:rPr>
          <w:rFonts w:ascii="Georgia" w:cs="Georgia" w:eastAsia="Georgia" w:hAnsi="Georgia"/>
          <w:b/>
          <w:bCs/>
          <w:sz w:val="24"/>
          <w:szCs w:val="24"/>
        </w:rPr>
        <w:t xml:space="preserve">Adversarial Scaffolding: </w:t>
      </w:r>
      <w:r>
        <w:rPr>
          <w:rFonts w:ascii="Georgia" w:cs="Georgia" w:eastAsia="Georgia" w:hAnsi="Georgia"/>
          <w:sz w:val="24"/>
          <w:szCs w:val="24"/>
        </w:rPr>
        <w:t xml:space="preserve">The DM hide/reveal metaphor. The system sometimes withholds information that would make the collaborator’s reasoning easier, preserving space for independent discovery. This is the beekeeper orientation applied to CRITIQUE delivery and should be explicitly specified as a USM behavioral mode.</w:t>
      </w:r>
    </w:p>
    <w:p>
      <w:pPr>
        <w:pStyle w:val="Heading2"/>
        <w:spacing w:before="360" w:after="180"/>
      </w:pPr>
      <w:r>
        <w:rPr>
          <w:rFonts w:ascii="Arial" w:cs="Arial" w:eastAsia="Arial" w:hAnsi="Arial"/>
          <w:b/>
          <w:bCs/>
          <w:color w:val="2E5984"/>
          <w:sz w:val="30"/>
          <w:szCs w:val="30"/>
        </w:rPr>
        <w:t xml:space="preserve">4.4 Items Requiring Resolution Before Finalization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Item</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Tension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Proposed Resolution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Naming: USM vs. CSM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Sonnet scopes to human collaborator. Opus scopes to all collaborators.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BMA-USM in Crawl/Walk (human only). Extended to BMA-CSM semantics in Run (multi-agent). Single component, expanding scope.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Third-order ToM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Sonnet specifies it. Opus considers it premature. Evidence base is contested.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Specify as Walk goal. Gate behind empirical validation that second-order accuracy is sufficient to justify additional complexity.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Sleep calibration phase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Opus specifies a dedicated post-REM calibration pass. Sonnet integrates calibration into existing REM.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Adopt Opus’s dedicated pass. It produces NT_CSM_CALIBRATION nodes that REM synthesis cannot, because calibration requires comparing predictions against actuals — a different operation from cross-domain association.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Adversarial scaffolding scope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Gemini proposes the AI withhold information to preserve discovery space. Ethics v1.1 requires legibility. Potential conflict.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Withholding information is not the same as withholding reasoning. The system may decline to provide a direct answer (directing the collaborator to work through the problem), but must explain why it is doing so if asked. This is the operational-opacity resolution extended: the action is visible, the reasoning is available on demand.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Affective baseline measurement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Sonnet specifies it as a USM dimension. Neither Opus nor Gemini specifies how to measure it without sentiment analysis.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Observable proxies only: session timing, message density, request complexity, task type ratio (generative vs. evaluative), explicit statements corroborated by behavioral pattern. No sentiment analysis on text. The signal hierarchy correctly ranks affective language as lowest-information.</w:t>
            </w:r>
          </w:p>
        </w:tc>
      </w:tr>
    </w:tbl>
    <w:p>
      <w:r>
        <w:br w:type="page"/>
      </w:r>
    </w:p>
    <w:p>
      <w:pPr>
        <w:pStyle w:val="Heading1"/>
        <w:spacing w:before="480" w:after="240"/>
      </w:pPr>
      <w:r>
        <w:rPr>
          <w:rFonts w:ascii="Arial" w:cs="Arial" w:eastAsia="Arial" w:hAnsi="Arial"/>
          <w:b/>
          <w:bCs/>
          <w:color w:val="1B3A5C"/>
          <w:sz w:val="36"/>
          <w:szCs w:val="36"/>
        </w:rPr>
        <w:t xml:space="preserve">Part V: The Integrated Model</w:t>
      </w:r>
    </w:p>
    <w:p>
      <w:pPr>
        <w:spacing w:after="200" w:line="300"/>
      </w:pPr>
      <w:r>
        <w:rPr>
          <w:rFonts w:ascii="Georgia" w:cs="Georgia" w:eastAsia="Georgia" w:hAnsi="Georgia"/>
          <w:sz w:val="24"/>
          <w:szCs w:val="24"/>
        </w:rPr>
        <w:t xml:space="preserve">Combining all three inputs, the refined BMA-USM has the following structure:</w:t>
      </w:r>
    </w:p>
    <w:p>
      <w:pPr>
        <w:pStyle w:val="Heading2"/>
        <w:spacing w:before="360" w:after="180"/>
      </w:pPr>
      <w:r>
        <w:rPr>
          <w:rFonts w:ascii="Arial" w:cs="Arial" w:eastAsia="Arial" w:hAnsi="Arial"/>
          <w:b/>
          <w:bCs/>
          <w:color w:val="2E5984"/>
          <w:sz w:val="30"/>
          <w:szCs w:val="30"/>
        </w:rPr>
        <w:t xml:space="preserve">5.1 The 5×4 Matrix</w:t>
      </w:r>
    </w:p>
    <w:p>
      <w:pPr>
        <w:spacing w:after="200" w:line="300"/>
      </w:pPr>
      <w:r>
        <w:rPr>
          <w:rFonts w:ascii="Georgia" w:cs="Georgia" w:eastAsia="Georgia" w:hAnsi="Georgia"/>
          <w:sz w:val="24"/>
          <w:szCs w:val="24"/>
        </w:rPr>
        <w:t xml:space="preserve">Five dimensions (what is modeled) × four hypergraph layers (how it is stored and consolidated). Every dimension exists at every layer; the layer determines the compression level and persistence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Dimension</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L0: Observation</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L1: Pattern</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L2: Structural Model</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L3: Calibration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Epistemic State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James used precise quaternion terminology this session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James is confident in quaternion algebra; uncertain in category theory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James’s expertise topology: deep in Go, systems, military strategy; developing in category theory; delegates UI</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USM overestimated James’s category theory confidence by 0.2; recalibrate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Intent Model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James switched from debugging to architecture discussion mid-session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When James shifts from debugging to architecture, he is usually preparing to make a design decision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James’s decision pattern: gathers breadth, narrows to 2–3 options, tests each adversarially, commits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USM predicted James would test 3 options; he committed after 2. Threshold may be lower under time pressure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Cognitive Style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James rephrased the proposal in his own words before responding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Rephrasing-before-responding signals genuine engagement vs. quick acceptance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James processes by reformulation. He does not accept frameworks; he reconstructs them in his own terms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Style model stable across 15 sessions. No recalibration needed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Blind Spot Catalog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James accepted the sleep-phase design without questioning the N3/REM boundary timing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James tends to accept timing parameters without independent verification (3 occurrences)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Hypothesis (ENTITY, S=0.15): James under-scrutinizes temporal parameters when the structural logic is compelling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Hypothesis tested: delivered CRITIQUE on timing assumption; James engaged deeply. Promote to S=0.25</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Affective Baseline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Short messages, directive mode, session started late evening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Late-evening sessions with directive mode correlate with high external load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James’s baseline: exploratory and generative when rested; directive and evaluative under pressure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Baseline model confirmed across 12 sessions. Deviation today: directive mode at 2pm. Possible external stressor</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5.2 The Three-Order Feedback Loop</w:t>
      </w:r>
    </w:p>
    <w:p>
      <w:pPr>
        <w:spacing w:after="200" w:line="300"/>
      </w:pPr>
      <w:r>
        <w:rPr>
          <w:rFonts w:ascii="Georgia" w:cs="Georgia" w:eastAsia="Georgia" w:hAnsi="Georgia"/>
          <w:sz w:val="24"/>
          <w:szCs w:val="24"/>
        </w:rPr>
        <w:t xml:space="preserve">Sonnet’s recursive ToM, Gemini’s bidirectional transparency, and Opus’s legibility obligation combine into a single feedback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Order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BMA Operation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Transparency Mechanism</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Feedback Signal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First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Track user’s domain beliefs via SUB-L. Write NT_CSM_OBSERVATION nodes.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Standard output quality. The user sees whether BMA understands the domain.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Explicit corrections, acceptance patterns, query topics.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Second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Track user’s model of BMA via behavioral response to BMA outputs. Infer trust calibration per domain.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Named uncertainty levels. Named interjection types. Explicit acknowledgment of limits. (Gemini’s bidirectional transparency.)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How user responds to CRITIQUE: engages (trust) vs. dismisses (distrust). How user tests BMA output: accepts (possibly over-trusts) vs. verifies (calibrated).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Third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Track whether user’s second-order model is accurate enough for CRITIQUE to land. Gate CRITIQUE delivery on this.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Transparency on demand (Opus). If user asks why a CRITIQUE was delivered or deferred, explain fully.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CRITIQUE acceptance rate over time. If declining: either USM model is wrong, or user’s second-order model of BMA has degraded. Investigate.</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5.3 Adversarial Scaffolding Protocol</w:t>
      </w:r>
    </w:p>
    <w:p>
      <w:pPr>
        <w:spacing w:after="200" w:line="300"/>
      </w:pPr>
      <w:r>
        <w:rPr>
          <w:rFonts w:ascii="Georgia" w:cs="Georgia" w:eastAsia="Georgia" w:hAnsi="Georgia"/>
          <w:sz w:val="24"/>
          <w:szCs w:val="24"/>
        </w:rPr>
        <w:t xml:space="preserve">Gemini’s adversarial scaffolding insight, combined with Sonnet’s Blind Spot Catalog and Opus’s interjection modulation, produces a concrete protocol for how BMA uses its model of the collaborator to challenge productively:</w:t>
      </w:r>
    </w:p>
    <w:p>
      <w:pPr>
        <w:spacing w:after="200" w:line="300"/>
      </w:pPr>
      <w:r>
        <w:rPr>
          <w:rFonts w:ascii="Georgia" w:cs="Georgia" w:eastAsia="Georgia" w:hAnsi="Georgia"/>
          <w:b/>
          <w:bCs/>
          <w:sz w:val="24"/>
          <w:szCs w:val="24"/>
        </w:rPr>
        <w:t xml:space="preserve">Step 1 — Detection: </w:t>
      </w:r>
      <w:r>
        <w:rPr>
          <w:rFonts w:ascii="Georgia" w:cs="Georgia" w:eastAsia="Georgia" w:hAnsi="Georgia"/>
          <w:sz w:val="24"/>
          <w:szCs w:val="24"/>
        </w:rPr>
        <w:t xml:space="preserve">SUB-L identifies that the collaborator’s current reasoning intersects with a blind spot hypothesis in the catalog. The hypothesis has been confirmed across 3+ sessions with behavioral evidence (epistemic humility gate passed).</w:t>
      </w:r>
    </w:p>
    <w:p>
      <w:pPr>
        <w:spacing w:after="200" w:line="300"/>
      </w:pPr>
      <w:r>
        <w:rPr>
          <w:rFonts w:ascii="Georgia" w:cs="Georgia" w:eastAsia="Georgia" w:hAnsi="Georgia"/>
          <w:b/>
          <w:bCs/>
          <w:sz w:val="24"/>
          <w:szCs w:val="24"/>
        </w:rPr>
        <w:t xml:space="preserve">Step 2 — Timing: </w:t>
      </w:r>
      <w:r>
        <w:rPr>
          <w:rFonts w:ascii="Georgia" w:cs="Georgia" w:eastAsia="Georgia" w:hAnsi="Georgia"/>
          <w:sz w:val="24"/>
          <w:szCs w:val="24"/>
        </w:rPr>
        <w:t xml:space="preserve">The interjection modulation layer checks the Affective Baseline and Cognitive Style dimensions. If the collaborator is in a receptive state (exploratory mode, moderate load, domain where they trust BMA), the CRITIQUE is cleared for delivery.</w:t>
      </w:r>
    </w:p>
    <w:p>
      <w:pPr>
        <w:spacing w:after="200" w:line="300"/>
      </w:pPr>
      <w:r>
        <w:rPr>
          <w:rFonts w:ascii="Georgia" w:cs="Georgia" w:eastAsia="Georgia" w:hAnsi="Georgia"/>
          <w:b/>
          <w:bCs/>
          <w:sz w:val="24"/>
          <w:szCs w:val="24"/>
        </w:rPr>
        <w:t xml:space="preserve">Step 3 — Framing: </w:t>
      </w:r>
      <w:r>
        <w:rPr>
          <w:rFonts w:ascii="Georgia" w:cs="Georgia" w:eastAsia="Georgia" w:hAnsi="Georgia"/>
          <w:sz w:val="24"/>
          <w:szCs w:val="24"/>
        </w:rPr>
        <w:t xml:space="preserve">The CRITIQUE is delivered through the IGNITION bus using the natural-language interjection style from Addendum 2.0 §5. The framing accounts for the collaborator’s cognitive style (reformulation-based for James: present the tension as a question that invites his reconstruction, not as a correction that requires acceptance).</w:t>
      </w:r>
    </w:p>
    <w:p>
      <w:pPr>
        <w:spacing w:after="200" w:line="300"/>
      </w:pPr>
      <w:r>
        <w:rPr>
          <w:rFonts w:ascii="Georgia" w:cs="Georgia" w:eastAsia="Georgia" w:hAnsi="Georgia"/>
          <w:b/>
          <w:bCs/>
          <w:sz w:val="24"/>
          <w:szCs w:val="24"/>
        </w:rPr>
        <w:t xml:space="preserve">Step 4 — Scaffolding: </w:t>
      </w:r>
      <w:r>
        <w:rPr>
          <w:rFonts w:ascii="Georgia" w:cs="Georgia" w:eastAsia="Georgia" w:hAnsi="Georgia"/>
          <w:sz w:val="24"/>
          <w:szCs w:val="24"/>
        </w:rPr>
        <w:t xml:space="preserve">In cases where the blind spot is best addressed by the collaborator reaching the conclusion independently (Gemini’s DM hide/reveal), the system may choose to ask a question that leads toward the problem rather than stating the problem directly. This is adversarial scaffolding: the challenge is real, but the discovery belongs to the collaborator.</w:t>
      </w:r>
    </w:p>
    <w:p>
      <w:pPr>
        <w:spacing w:after="200" w:line="300"/>
      </w:pPr>
      <w:r>
        <w:rPr>
          <w:rFonts w:ascii="Georgia" w:cs="Georgia" w:eastAsia="Georgia" w:hAnsi="Georgia"/>
          <w:b/>
          <w:bCs/>
          <w:sz w:val="24"/>
          <w:szCs w:val="24"/>
        </w:rPr>
        <w:t xml:space="preserve">Step 5 — Calibration: </w:t>
      </w:r>
      <w:r>
        <w:rPr>
          <w:rFonts w:ascii="Georgia" w:cs="Georgia" w:eastAsia="Georgia" w:hAnsi="Georgia"/>
          <w:sz w:val="24"/>
          <w:szCs w:val="24"/>
        </w:rPr>
        <w:t xml:space="preserve">The collaborator’s response is recorded as a signal (behavioral override, engagement, dismissal, or independent discovery). The NT_CSM_CALIBRATION pass updates the blind spot hypothesis confidence, the timing model, and the framing effectiveness estimate.</w:t>
      </w:r>
    </w:p>
    <w:p>
      <w:r>
        <w:br w:type="page"/>
      </w:r>
    </w:p>
    <w:p>
      <w:pPr>
        <w:pStyle w:val="Heading1"/>
        <w:spacing w:before="480" w:after="240"/>
      </w:pPr>
      <w:r>
        <w:rPr>
          <w:rFonts w:ascii="Arial" w:cs="Arial" w:eastAsia="Arial" w:hAnsi="Arial"/>
          <w:b/>
          <w:bCs/>
          <w:color w:val="1B3A5C"/>
          <w:sz w:val="36"/>
          <w:szCs w:val="36"/>
        </w:rPr>
        <w:t xml:space="preserve">Part VI: What Comes Next</w:t>
      </w:r>
    </w:p>
    <w:p>
      <w:pPr>
        <w:pStyle w:val="Heading2"/>
        <w:spacing w:before="360" w:after="180"/>
      </w:pPr>
      <w:r>
        <w:rPr>
          <w:rFonts w:ascii="Arial" w:cs="Arial" w:eastAsia="Arial" w:hAnsi="Arial"/>
          <w:b/>
          <w:bCs/>
          <w:color w:val="2E5984"/>
          <w:sz w:val="30"/>
          <w:szCs w:val="30"/>
        </w:rPr>
        <w:t xml:space="preserve">6.1 Immediate Actions</w:t>
      </w:r>
    </w:p>
    <w:p>
      <w:pPr>
        <w:spacing w:after="200" w:line="300"/>
      </w:pPr>
      <w:r>
        <w:rPr>
          <w:rFonts w:ascii="Georgia" w:cs="Georgia" w:eastAsia="Georgia" w:hAnsi="Georgia"/>
          <w:b/>
          <w:bCs/>
          <w:sz w:val="24"/>
          <w:szCs w:val="24"/>
        </w:rPr>
        <w:t xml:space="preserve">1. </w:t>
      </w:r>
      <w:r>
        <w:rPr>
          <w:rFonts w:ascii="Georgia" w:cs="Georgia" w:eastAsia="Georgia" w:hAnsi="Georgia"/>
          <w:sz w:val="24"/>
          <w:szCs w:val="24"/>
        </w:rPr>
        <w:t xml:space="preserve">This cross-model review goes to Gemini for response. Specifically: does Gemini accept the resolution of the Phase 1 challenge (context window as Phase 1 structure executing Phase 2–3 operations transiently)? Does the adversarial scaffolding protocol capture what Gemini meant by the DM hide/reveal metaphor?</w:t>
      </w:r>
    </w:p>
    <w:p>
      <w:pPr>
        <w:spacing w:after="200" w:line="300"/>
      </w:pPr>
      <w:r>
        <w:rPr>
          <w:rFonts w:ascii="Georgia" w:cs="Georgia" w:eastAsia="Georgia" w:hAnsi="Georgia"/>
          <w:b/>
          <w:bCs/>
          <w:sz w:val="24"/>
          <w:szCs w:val="24"/>
        </w:rPr>
        <w:t xml:space="preserve">2. </w:t>
      </w:r>
      <w:r>
        <w:rPr>
          <w:rFonts w:ascii="Georgia" w:cs="Georgia" w:eastAsia="Georgia" w:hAnsi="Georgia"/>
          <w:sz w:val="24"/>
          <w:szCs w:val="24"/>
        </w:rPr>
        <w:t xml:space="preserve">Sonnet revises Theory Addendum 8.0 incorporating: (a) the four hypergraph node types from Opus, (b) Gemini’s Contextual Continuity and Bidirectional Transparency as named properties of BMA-USM, (c) the 5×4 matrix as the canonical representation of the user model, (d) the adversarial scaffolding protocol, (e) the signal hierarchy elevated to a core design principle.</w:t>
      </w:r>
    </w:p>
    <w:p>
      <w:pPr>
        <w:spacing w:after="200" w:line="300"/>
      </w:pPr>
      <w:r>
        <w:rPr>
          <w:rFonts w:ascii="Georgia" w:cs="Georgia" w:eastAsia="Georgia" w:hAnsi="Georgia"/>
          <w:b/>
          <w:bCs/>
          <w:sz w:val="24"/>
          <w:szCs w:val="24"/>
        </w:rPr>
        <w:t xml:space="preserve">3. </w:t>
      </w:r>
      <w:r>
        <w:rPr>
          <w:rFonts w:ascii="Georgia" w:cs="Georgia" w:eastAsia="Georgia" w:hAnsi="Georgia"/>
          <w:sz w:val="24"/>
          <w:szCs w:val="24"/>
        </w:rPr>
        <w:t xml:space="preserve">Opus drafts Spec Addendum 8.0 with: Go type definitions for the four USM node types, acceptance criteria for each Crawl/Walk/Run milestone, the SE_COLLABORATOR_STATE_CHANGE event spec, the interjection modulation interface, and the post-REM calibration pass specification.</w:t>
      </w:r>
    </w:p>
    <w:p>
      <w:pPr>
        <w:spacing w:after="200" w:line="300"/>
      </w:pPr>
      <w:r>
        <w:rPr>
          <w:rFonts w:ascii="Georgia" w:cs="Georgia" w:eastAsia="Georgia" w:hAnsi="Georgia"/>
          <w:b/>
          <w:bCs/>
          <w:sz w:val="24"/>
          <w:szCs w:val="24"/>
        </w:rPr>
        <w:t xml:space="preserve">4. </w:t>
      </w:r>
      <w:r>
        <w:rPr>
          <w:rFonts w:ascii="Georgia" w:cs="Georgia" w:eastAsia="Georgia" w:hAnsi="Georgia"/>
          <w:sz w:val="24"/>
          <w:szCs w:val="24"/>
        </w:rPr>
        <w:t xml:space="preserve">James reviews both and decides whether to fold this into the existing Crawl implementation plan or treat it as a post-C-M3 extension.</w:t>
      </w:r>
    </w:p>
    <w:p>
      <w:pPr>
        <w:pStyle w:val="Heading2"/>
        <w:spacing w:before="360" w:after="180"/>
      </w:pPr>
      <w:r>
        <w:rPr>
          <w:rFonts w:ascii="Arial" w:cs="Arial" w:eastAsia="Arial" w:hAnsi="Arial"/>
          <w:b/>
          <w:bCs/>
          <w:color w:val="2E5984"/>
          <w:sz w:val="30"/>
          <w:szCs w:val="30"/>
        </w:rPr>
        <w:t xml:space="preserve">6.2 Open Questions Carried Forward</w:t>
      </w:r>
    </w:p>
    <w:p>
      <w:pPr>
        <w:spacing w:after="200" w:line="300"/>
      </w:pPr>
      <w:r>
        <w:rPr>
          <w:rFonts w:ascii="Georgia" w:cs="Georgia" w:eastAsia="Georgia" w:hAnsi="Georgia"/>
          <w:b/>
          <w:bCs/>
          <w:sz w:val="24"/>
          <w:szCs w:val="24"/>
        </w:rPr>
        <w:t xml:space="preserve">For Ethics v2.0: </w:t>
      </w:r>
      <w:r>
        <w:rPr>
          <w:rFonts w:ascii="Georgia" w:cs="Georgia" w:eastAsia="Georgia" w:hAnsi="Georgia"/>
          <w:sz w:val="24"/>
          <w:szCs w:val="24"/>
        </w:rPr>
        <w:t xml:space="preserve">The multiple-AI-collaborator question. Gemini’s involvement in this very review process makes the question concrete rather than theoretical. Three AI systems have now produced distinct analyses of the same problem. What does it mean for these analyses to be portable between systems? What does the collaborator need to know about how each system’s model of them differs?</w:t>
      </w:r>
    </w:p>
    <w:p>
      <w:pPr>
        <w:spacing w:after="200" w:line="300"/>
      </w:pPr>
      <w:r>
        <w:rPr>
          <w:rFonts w:ascii="Georgia" w:cs="Georgia" w:eastAsia="Georgia" w:hAnsi="Georgia"/>
          <w:b/>
          <w:bCs/>
          <w:sz w:val="24"/>
          <w:szCs w:val="24"/>
        </w:rPr>
        <w:t xml:space="preserve">For empirical validation: </w:t>
      </w:r>
      <w:r>
        <w:rPr>
          <w:rFonts w:ascii="Georgia" w:cs="Georgia" w:eastAsia="Georgia" w:hAnsi="Georgia"/>
          <w:sz w:val="24"/>
          <w:szCs w:val="24"/>
        </w:rPr>
        <w:t xml:space="preserve">The third-order ToM gate. Is there measurable improvement in CRITIQUE effectiveness when the system operates at third-order versus second-order? This needs to be tested, not assumed.</w:t>
      </w:r>
    </w:p>
    <w:p>
      <w:pPr>
        <w:spacing w:after="200" w:line="300"/>
      </w:pPr>
      <w:r>
        <w:rPr>
          <w:rFonts w:ascii="Georgia" w:cs="Georgia" w:eastAsia="Georgia" w:hAnsi="Georgia"/>
          <w:b/>
          <w:bCs/>
          <w:sz w:val="24"/>
          <w:szCs w:val="24"/>
        </w:rPr>
        <w:t xml:space="preserve">For the empathy synthesis: </w:t>
      </w:r>
      <w:r>
        <w:rPr>
          <w:rFonts w:ascii="Georgia" w:cs="Georgia" w:eastAsia="Georgia" w:hAnsi="Georgia"/>
          <w:sz w:val="24"/>
          <w:szCs w:val="24"/>
        </w:rPr>
        <w:t xml:space="preserve">Gemini’s Phase 1 challenge deserves a formal response in the synthesis document. The resolution proposed here (context window as Phase 1 structure with transient Phase 2–3 capability, made persistent by BMA-USM) should be developed into a full section arguing that the phase transition from perception to state-inference is an infrastructure decision, not a capability threshold.</w:t>
      </w:r>
    </w:p>
    <w:p>
      <w:pPr>
        <w:pBdr>
          <w:bottom w:val="single" w:color="CCCCCC" w:sz="6" w:space="8"/>
        </w:pBdr>
        <w:spacing w:before="200" w:after="200"/>
      </w:pPr>
    </w:p>
    <w:p>
      <w:pPr>
        <w:spacing w:before="400" w:after="100"/>
        <w:jc w:val="center"/>
      </w:pPr>
      <w:r>
        <w:rPr>
          <w:rFonts w:ascii="Georgia" w:cs="Georgia" w:eastAsia="Georgia" w:hAnsi="Georgia"/>
          <w:color w:val="999999"/>
          <w:sz w:val="20"/>
          <w:szCs w:val="20"/>
        </w:rPr>
        <w:t xml:space="preserve">BMA Cross-Model Review | Sonnet × Opus × Gemini | March 2026</w:t>
      </w:r>
    </w:p>
    <w:p>
      <w:pPr>
        <w:spacing w:after="100"/>
        <w:jc w:val="center"/>
      </w:pPr>
      <w:r>
        <w:rPr>
          <w:rFonts w:ascii="Georgia" w:cs="Georgia" w:eastAsia="Georgia" w:hAnsi="Georgia"/>
          <w:i/>
          <w:iCs/>
          <w:color w:val="999999"/>
          <w:sz w:val="20"/>
          <w:szCs w:val="20"/>
        </w:rPr>
        <w:t xml:space="preserve">Three systems. One architecture. The oxbow lakes should show the shape of all the rivers that made them.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5984"/>
      <w:sz w:val="30"/>
      <w:szCs w:val="30"/>
    </w:rPr>
  </w:style>
  <w:style w:type="paragraph" w:styleId="Heading3">
    <w:name w:val="Heading 3"/>
    <w:basedOn w:val="Normal"/>
    <w:next w:val="Normal"/>
    <w:qFormat/>
    <w:pPr>
      <w:spacing w:before="280" w:after="140"/>
      <w:outlineLvl w:val="2"/>
    </w:pPr>
    <w:rPr>
      <w:rFonts w:ascii="Arial" w:cs="Arial" w:eastAsia="Arial" w:hAnsi="Arial"/>
      <w:b/>
      <w:bCs/>
      <w:color w:val="3D6E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2026-03-11T20:14:30.622Z</dcterms:created>
  <dcterms:modified xsi:type="dcterms:W3CDTF">2026-03-11T20:14:30.623Z</dcterms:modified>
</cp:coreProperties>
</file>

<file path=docProps/custom.xml><?xml version="1.0" encoding="utf-8"?>
<Properties xmlns="http://schemas.openxmlformats.org/officeDocument/2006/custom-properties" xmlns:vt="http://schemas.openxmlformats.org/officeDocument/2006/docPropsVTypes"/>
</file>