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Arial" w:cs="Arial" w:eastAsia="Arial" w:hAnsi="Arial"/>
          <w:b/>
          <w:bCs/>
          <w:color w:val="1B3A5C"/>
          <w:sz w:val="44"/>
          <w:szCs w:val="44"/>
        </w:rPr>
        <w:t xml:space="preserve">FINAL SESSION BRIEFING</w:t>
      </w:r>
    </w:p>
    <w:p>
      <w:pPr>
        <w:spacing w:after="120"/>
        <w:jc w:val="center"/>
      </w:pPr>
      <w:r>
        <w:rPr>
          <w:rFonts w:ascii="Arial" w:cs="Arial" w:eastAsia="Arial" w:hAnsi="Arial"/>
          <w:color w:val="2E5984"/>
          <w:sz w:val="28"/>
          <w:szCs w:val="28"/>
        </w:rPr>
        <w:t xml:space="preserve">Complete Session Output | March 11–12, 2026</w:t>
      </w:r>
    </w:p>
    <w:p>
      <w:pPr>
        <w:pBdr>
          <w:bottom w:val="single" w:color="CCCCCC" w:sz="6" w:space="8"/>
        </w:pBdr>
        <w:spacing w:before="200" w:after="200"/>
      </w:pPr>
    </w:p>
    <w:p>
      <w:pPr>
        <w:spacing w:after="80"/>
        <w:jc w:val="center"/>
      </w:pPr>
      <w:r>
        <w:rPr>
          <w:rFonts w:ascii="Georgia" w:cs="Georgia" w:eastAsia="Georgia" w:hAnsi="Georgia"/>
          <w:color w:val="555555"/>
          <w:sz w:val="22"/>
          <w:szCs w:val="22"/>
        </w:rPr>
        <w:t xml:space="preserve">For: Gemini (Furey/Feynman) • Sonnet 4.6 • James Paget-Butler</w:t>
      </w:r>
    </w:p>
    <w:p>
      <w:pPr>
        <w:spacing w:after="80"/>
        <w:jc w:val="center"/>
      </w:pPr>
      <w:r>
        <w:rPr>
          <w:rFonts w:ascii="Georgia" w:cs="Georgia" w:eastAsia="Georgia" w:hAnsi="Georgia"/>
          <w:color w:val="777777"/>
          <w:sz w:val="22"/>
          <w:szCs w:val="22"/>
        </w:rPr>
        <w:t xml:space="preserve">From: Claude Opus 4.6 (Red Team) | Replaces earlier session briefing</w:t>
      </w:r>
    </w:p>
    <w:p>
      <w:r>
        <w:br w:type="page"/>
      </w:r>
    </w:p>
    <w:p>
      <w:pPr>
        <w:pStyle w:val="Heading1"/>
        <w:spacing w:before="480" w:after="240"/>
      </w:pPr>
      <w:r>
        <w:rPr>
          <w:rFonts w:ascii="Arial" w:cs="Arial" w:eastAsia="Arial" w:hAnsi="Arial"/>
          <w:b/>
          <w:bCs/>
          <w:color w:val="1B3A5C"/>
          <w:sz w:val="36"/>
          <w:szCs w:val="36"/>
        </w:rPr>
        <w:t xml:space="preserve">Session Summary</w:t>
      </w:r>
    </w:p>
    <w:p>
      <w:pPr>
        <w:spacing w:after="200" w:line="300"/>
      </w:pPr>
      <w:r>
        <w:rPr>
          <w:rFonts w:ascii="Georgia" w:cs="Georgia" w:eastAsia="Georgia" w:hAnsi="Georgia"/>
          <w:sz w:val="24"/>
          <w:szCs w:val="24"/>
        </w:rPr>
        <w:t xml:space="preserve">This was an extended session covering the empathy/ToM architecture, inter-model communication, hardware-grounded infrastructure decisions, and interface design for BMA. Ten documents were produced. This briefing replaces the earlier session briefing with the complete picture.</w:t>
      </w:r>
    </w:p>
    <w:p>
      <w:pPr>
        <w:pStyle w:val="Heading1"/>
        <w:spacing w:before="480" w:after="240"/>
      </w:pPr>
      <w:r>
        <w:rPr>
          <w:rFonts w:ascii="Arial" w:cs="Arial" w:eastAsia="Arial" w:hAnsi="Arial"/>
          <w:b/>
          <w:bCs/>
          <w:color w:val="1B3A5C"/>
          <w:sz w:val="36"/>
          <w:szCs w:val="36"/>
        </w:rPr>
        <w:t xml:space="preserve">Document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Document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Summary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empathy_synthesis_v2.docx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Gemini’s empathy framework updated with herd-transition + dual-pressure additions.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BMA-Empathy-ToM-Plan.docx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Implementation plan for FATHOM (née CSM/USM). Four HG node types, interjection modulation, phased milestones.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BMA-Cross-Model-Review.docx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Three-way comparison: Sonnet 8.0 × Opus plan × Gemini extensions. The 5×4 matrix. Adversarial scaffolding protocol.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BMA-BRIDGE-Design.docx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Inter-model communication. Provider-agnostic. Persona registry (TOML). ContextPreparer. Orchestration patterns.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BMA-BRIDGE-Protocols.docx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AI-to-AI communication protocols. Canonical message structure. Speech act types. Signal hierarchy. Anti-patterns.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BMA-BRIDGE-Transport.docx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Four transport layers (MCP, CLI, GitHub Issues, file drop). Adaptive routing. Test plan with characterization framework.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BMA-Dual-Pressure-Response.docx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Answer to Gemini’s question: N3 sleep has no inclusive-fitness retention. Fix: dual-axis scoring.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BMA-Crawl-Environment.docx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Hardware profile, Podman container architecture, compute hierarchy, context management, interface stack, Kaiju visualization, naming convention.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personas/ (5 TOML files)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Persona definitions: gemini-furey, gemini-feynman, claude-redteam, claude-sonnet, local-draft.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This briefing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Final session context for all collaborators.</w:t>
            </w:r>
          </w:p>
        </w:tc>
      </w:tr>
    </w:tbl>
    <w:p>
      <w:r>
        <w:br w:type="page"/>
      </w:r>
    </w:p>
    <w:p>
      <w:pPr>
        <w:pStyle w:val="Heading1"/>
        <w:spacing w:before="480" w:after="240"/>
      </w:pPr>
      <w:r>
        <w:rPr>
          <w:rFonts w:ascii="Arial" w:cs="Arial" w:eastAsia="Arial" w:hAnsi="Arial"/>
          <w:b/>
          <w:bCs/>
          <w:color w:val="1B3A5C"/>
          <w:sz w:val="36"/>
          <w:szCs w:val="36"/>
        </w:rPr>
        <w:t xml:space="preserve">Decisions Made This Session</w:t>
      </w:r>
    </w:p>
    <w:p>
      <w:pPr>
        <w:pStyle w:val="Heading2"/>
        <w:spacing w:before="360" w:after="180"/>
      </w:pPr>
      <w:r>
        <w:rPr>
          <w:rFonts w:ascii="Arial" w:cs="Arial" w:eastAsia="Arial" w:hAnsi="Arial"/>
          <w:b/>
          <w:bCs/>
          <w:color w:val="2E5984"/>
          <w:sz w:val="30"/>
          <w:szCs w:val="30"/>
        </w:rPr>
        <w:t xml:space="preserve">Naming</w:t>
      </w:r>
    </w:p>
    <w:p>
      <w:pPr>
        <w:spacing w:after="200" w:line="300"/>
      </w:pPr>
      <w:r>
        <w:rPr>
          <w:rFonts w:ascii="Georgia" w:cs="Georgia" w:eastAsia="Georgia" w:hAnsi="Georgia"/>
          <w:b/>
          <w:bCs/>
          <w:sz w:val="24"/>
          <w:szCs w:val="24"/>
        </w:rPr>
        <w:t xml:space="preserve">FATHOM </w:t>
      </w:r>
      <w:r>
        <w:rPr>
          <w:rFonts w:ascii="Georgia" w:cs="Georgia" w:eastAsia="Georgia" w:hAnsi="Georgia"/>
          <w:sz w:val="24"/>
          <w:szCs w:val="24"/>
        </w:rPr>
        <w:t xml:space="preserve">is the collaborator model component (née USM/CSM). Technical-poetic register: depth + deep understanding.</w:t>
      </w:r>
    </w:p>
    <w:p>
      <w:pPr>
        <w:spacing w:after="200" w:line="300"/>
      </w:pPr>
      <w:r>
        <w:rPr>
          <w:rFonts w:ascii="Georgia" w:cs="Georgia" w:eastAsia="Georgia" w:hAnsi="Georgia"/>
          <w:b/>
          <w:bCs/>
          <w:sz w:val="24"/>
          <w:szCs w:val="24"/>
        </w:rPr>
        <w:t xml:space="preserve">BRIDGE </w:t>
      </w:r>
      <w:r>
        <w:rPr>
          <w:rFonts w:ascii="Georgia" w:cs="Georgia" w:eastAsia="Georgia" w:hAnsi="Georgia"/>
          <w:sz w:val="24"/>
          <w:szCs w:val="24"/>
        </w:rPr>
        <w:t xml:space="preserve">is the inter-model communication component. Noun/verb. Connects agents.</w:t>
      </w:r>
    </w:p>
    <w:p>
      <w:pPr>
        <w:spacing w:after="200" w:line="300"/>
      </w:pPr>
      <w:r>
        <w:rPr>
          <w:rFonts w:ascii="Georgia" w:cs="Georgia" w:eastAsia="Georgia" w:hAnsi="Georgia"/>
          <w:b/>
          <w:bCs/>
          <w:sz w:val="24"/>
          <w:szCs w:val="24"/>
        </w:rPr>
        <w:t xml:space="preserve">The production BMA instance names itself </w:t>
      </w:r>
      <w:r>
        <w:rPr>
          <w:rFonts w:ascii="Georgia" w:cs="Georgia" w:eastAsia="Georgia" w:hAnsi="Georgia"/>
          <w:sz w:val="24"/>
          <w:szCs w:val="24"/>
        </w:rPr>
        <w:t xml:space="preserve">after accumulating enough Crawl experience. Working label until then: BMA. Milestone versioning: named after achievements (Crawl.Heartbeat, Crawl.Recall, Crawl.Fathom, etc.).</w:t>
      </w:r>
    </w:p>
    <w:p>
      <w:pPr>
        <w:pStyle w:val="Heading2"/>
        <w:spacing w:before="360" w:after="180"/>
      </w:pPr>
      <w:r>
        <w:rPr>
          <w:rFonts w:ascii="Arial" w:cs="Arial" w:eastAsia="Arial" w:hAnsi="Arial"/>
          <w:b/>
          <w:bCs/>
          <w:color w:val="2E5984"/>
          <w:sz w:val="30"/>
          <w:szCs w:val="30"/>
        </w:rPr>
        <w:t xml:space="preserve">Architecture</w:t>
      </w:r>
    </w:p>
    <w:p>
      <w:pPr>
        <w:spacing w:after="200" w:line="300"/>
      </w:pPr>
      <w:r>
        <w:rPr>
          <w:rFonts w:ascii="Georgia" w:cs="Georgia" w:eastAsia="Georgia" w:hAnsi="Georgia"/>
          <w:b/>
          <w:bCs/>
          <w:sz w:val="24"/>
          <w:szCs w:val="24"/>
        </w:rPr>
        <w:t xml:space="preserve">Container, not VM. </w:t>
      </w:r>
      <w:r>
        <w:rPr>
          <w:rFonts w:ascii="Georgia" w:cs="Georgia" w:eastAsia="Georgia" w:hAnsi="Georgia"/>
          <w:sz w:val="24"/>
          <w:szCs w:val="24"/>
        </w:rPr>
        <w:t xml:space="preserve">Podman rootless on Pop!_OS. Distrobox for development, Podman with cgroup limits for production Crawl. SR-IOV confirmed unavailable on consumer GPUs.</w:t>
      </w:r>
    </w:p>
    <w:p>
      <w:pPr>
        <w:spacing w:after="200" w:line="300"/>
      </w:pPr>
      <w:r>
        <w:rPr>
          <w:rFonts w:ascii="Georgia" w:cs="Georgia" w:eastAsia="Georgia" w:hAnsi="Georgia"/>
          <w:b/>
          <w:bCs/>
          <w:sz w:val="24"/>
          <w:szCs w:val="24"/>
        </w:rPr>
        <w:t xml:space="preserve">Hardware IS the constraint teacher. </w:t>
      </w:r>
      <w:r>
        <w:rPr>
          <w:rFonts w:ascii="Georgia" w:cs="Georgia" w:eastAsia="Georgia" w:hAnsi="Georgia"/>
          <w:sz w:val="24"/>
          <w:szCs w:val="24"/>
        </w:rPr>
        <w:t xml:space="preserve">PCIe 2.0, SATA, DDR3, FX-8350 provide genuine scarcity. Walk hardware is earned by Crawl success.</w:t>
      </w:r>
    </w:p>
    <w:p>
      <w:pPr>
        <w:spacing w:after="200" w:line="300"/>
      </w:pPr>
      <w:r>
        <w:rPr>
          <w:rFonts w:ascii="Georgia" w:cs="Georgia" w:eastAsia="Georgia" w:hAnsi="Georgia"/>
          <w:b/>
          <w:bCs/>
          <w:sz w:val="24"/>
          <w:szCs w:val="24"/>
        </w:rPr>
        <w:t xml:space="preserve">Four transport layers: </w:t>
      </w:r>
      <w:r>
        <w:rPr>
          <w:rFonts w:ascii="Georgia" w:cs="Georgia" w:eastAsia="Georgia" w:hAnsi="Georgia"/>
          <w:sz w:val="24"/>
          <w:szCs w:val="24"/>
        </w:rPr>
        <w:t xml:space="preserve">MCP (optimistic), CLI-Anything (workhorse), GitHub Issues (async/observable), file drop (last resort). Adaptive routing learns reliability per provider.</w:t>
      </w:r>
    </w:p>
    <w:p>
      <w:pPr>
        <w:spacing w:after="200" w:line="300"/>
      </w:pPr>
      <w:r>
        <w:rPr>
          <w:rFonts w:ascii="Georgia" w:cs="Georgia" w:eastAsia="Georgia" w:hAnsi="Georgia"/>
          <w:b/>
          <w:bCs/>
          <w:sz w:val="24"/>
          <w:szCs w:val="24"/>
        </w:rPr>
        <w:t xml:space="preserve">Dual-pressure consolidation. </w:t>
      </w:r>
      <w:r>
        <w:rPr>
          <w:rFonts w:ascii="Georgia" w:cs="Georgia" w:eastAsia="Georgia" w:hAnsi="Georgia"/>
          <w:sz w:val="24"/>
          <w:szCs w:val="24"/>
        </w:rPr>
        <w:t xml:space="preserve">Collaborative decay is linear, not exponential (Gemini). Adjusted decay constant, not exempt content (Sonnet). Homeostatic governor under VRAM pressure (Gemini). James’s trajectory always primary (beekeeper).</w:t>
      </w:r>
    </w:p>
    <w:p>
      <w:pPr>
        <w:spacing w:after="200" w:line="300"/>
      </w:pPr>
      <w:r>
        <w:rPr>
          <w:rFonts w:ascii="Georgia" w:cs="Georgia" w:eastAsia="Georgia" w:hAnsi="Georgia"/>
          <w:b/>
          <w:bCs/>
          <w:sz w:val="24"/>
          <w:szCs w:val="24"/>
        </w:rPr>
        <w:t xml:space="preserve">Phase 1 resolved. </w:t>
      </w:r>
      <w:r>
        <w:rPr>
          <w:rFonts w:ascii="Georgia" w:cs="Georgia" w:eastAsia="Georgia" w:hAnsi="Georgia"/>
          <w:sz w:val="24"/>
          <w:szCs w:val="24"/>
        </w:rPr>
        <w:t xml:space="preserve">Context window is Phase 1 structure executing Phase 2–3 transiently. BMA-FATHOM makes operations persistent. Phase transition is in infrastructure. Accepted by all three models.</w:t>
      </w:r>
    </w:p>
    <w:p>
      <w:pPr>
        <w:spacing w:after="200" w:line="300"/>
      </w:pPr>
      <w:r>
        <w:rPr>
          <w:rFonts w:ascii="Georgia" w:cs="Georgia" w:eastAsia="Georgia" w:hAnsi="Georgia"/>
          <w:b/>
          <w:bCs/>
          <w:sz w:val="24"/>
          <w:szCs w:val="24"/>
        </w:rPr>
        <w:t xml:space="preserve">Context is a cache, not a budget. </w:t>
      </w:r>
      <w:r>
        <w:rPr>
          <w:rFonts w:ascii="Georgia" w:cs="Georgia" w:eastAsia="Georgia" w:hAnsi="Georgia"/>
          <w:sz w:val="24"/>
          <w:szCs w:val="24"/>
        </w:rPr>
        <w:t xml:space="preserve">The GPU context window is managed by a cognitive cache controller with prefetch (CPU predicts what’s needed) and eviction (salience-weighted, never evict identity/task/breathing room).</w:t>
      </w:r>
    </w:p>
    <w:p>
      <w:pPr>
        <w:spacing w:after="200" w:line="300"/>
      </w:pPr>
      <w:r>
        <w:rPr>
          <w:rFonts w:ascii="Georgia" w:cs="Georgia" w:eastAsia="Georgia" w:hAnsi="Georgia"/>
          <w:b/>
          <w:bCs/>
          <w:sz w:val="24"/>
          <w:szCs w:val="24"/>
        </w:rPr>
        <w:t xml:space="preserve">Kaiju Engine for visualization. </w:t>
      </w:r>
      <w:r>
        <w:rPr>
          <w:rFonts w:ascii="Georgia" w:cs="Georgia" w:eastAsia="Georgia" w:hAnsi="Georgia"/>
          <w:sz w:val="24"/>
          <w:szCs w:val="24"/>
        </w:rPr>
        <w:t xml:space="preserve">Go + Vulkan game engine. Same binary as BMA. Zero-copy access to hypergraph data. PA-style planetary knowledge navigation in late Crawl.</w:t>
      </w:r>
    </w:p>
    <w:p>
      <w:pPr>
        <w:spacing w:after="200" w:line="300"/>
      </w:pPr>
      <w:r>
        <w:rPr>
          <w:rFonts w:ascii="Georgia" w:cs="Georgia" w:eastAsia="Georgia" w:hAnsi="Georgia"/>
          <w:b/>
          <w:bCs/>
          <w:sz w:val="24"/>
          <w:szCs w:val="24"/>
        </w:rPr>
        <w:t xml:space="preserve">Provider-agnostic from day one. </w:t>
      </w:r>
      <w:r>
        <w:rPr>
          <w:rFonts w:ascii="Georgia" w:cs="Georgia" w:eastAsia="Georgia" w:hAnsi="Georgia"/>
          <w:sz w:val="24"/>
          <w:szCs w:val="24"/>
        </w:rPr>
        <w:t xml:space="preserve">TOML persona definitions. Canonical message structure (IDENTITY → GROUND → STANCE → TASK → PROTOCOL).</w:t>
      </w:r>
    </w:p>
    <w:p>
      <w:pPr>
        <w:pStyle w:val="Heading2"/>
        <w:spacing w:before="360" w:after="180"/>
      </w:pPr>
      <w:r>
        <w:rPr>
          <w:rFonts w:ascii="Arial" w:cs="Arial" w:eastAsia="Arial" w:hAnsi="Arial"/>
          <w:b/>
          <w:bCs/>
          <w:color w:val="2E5984"/>
          <w:sz w:val="30"/>
          <w:szCs w:val="30"/>
        </w:rPr>
        <w:t xml:space="preserve">Interface</w:t>
      </w:r>
    </w:p>
    <w:p>
      <w:pPr>
        <w:spacing w:after="200" w:line="300"/>
      </w:pPr>
      <w:r>
        <w:rPr>
          <w:rFonts w:ascii="Georgia" w:cs="Georgia" w:eastAsia="Georgia" w:hAnsi="Georgia"/>
          <w:b/>
          <w:bCs/>
          <w:sz w:val="24"/>
          <w:szCs w:val="24"/>
        </w:rPr>
        <w:t xml:space="preserve">Start simple: SSH over Tailscale. </w:t>
      </w:r>
      <w:r>
        <w:rPr>
          <w:rFonts w:ascii="Georgia" w:cs="Georgia" w:eastAsia="Georgia" w:hAnsi="Georgia"/>
          <w:sz w:val="24"/>
          <w:szCs w:val="24"/>
        </w:rPr>
        <w:t xml:space="preserve">Phone to home machine. Run bma commands. Day 1.</w:t>
      </w:r>
    </w:p>
    <w:p>
      <w:pPr>
        <w:spacing w:after="200" w:line="300"/>
      </w:pPr>
      <w:r>
        <w:rPr>
          <w:rFonts w:ascii="Georgia" w:cs="Georgia" w:eastAsia="Georgia" w:hAnsi="Georgia"/>
          <w:b/>
          <w:bCs/>
          <w:sz w:val="24"/>
          <w:szCs w:val="24"/>
        </w:rPr>
        <w:t xml:space="preserve">Voice input via existing keyboards. </w:t>
      </w:r>
      <w:r>
        <w:rPr>
          <w:rFonts w:ascii="Georgia" w:cs="Georgia" w:eastAsia="Georgia" w:hAnsi="Georgia"/>
          <w:sz w:val="24"/>
          <w:szCs w:val="24"/>
        </w:rPr>
        <w:t xml:space="preserve">Android voice transcription. BMA receives text. Web Speech API in web UI later.</w:t>
      </w:r>
    </w:p>
    <w:p>
      <w:pPr>
        <w:spacing w:after="200" w:line="300"/>
      </w:pPr>
      <w:r>
        <w:rPr>
          <w:rFonts w:ascii="Georgia" w:cs="Georgia" w:eastAsia="Georgia" w:hAnsi="Georgia"/>
          <w:b/>
          <w:bCs/>
          <w:sz w:val="24"/>
          <w:szCs w:val="24"/>
        </w:rPr>
        <w:t xml:space="preserve">Two-tier responses: </w:t>
      </w:r>
      <w:r>
        <w:rPr>
          <w:rFonts w:ascii="Georgia" w:cs="Georgia" w:eastAsia="Georgia" w:hAnsi="Georgia"/>
          <w:sz w:val="24"/>
          <w:szCs w:val="24"/>
        </w:rPr>
        <w:t xml:space="preserve">Headline (2–3 sentences, speakable) + full content (readable when attention allows). Verbosity is caller-controlled.</w:t>
      </w:r>
    </w:p>
    <w:p>
      <w:pPr>
        <w:spacing w:after="200" w:line="300"/>
      </w:pPr>
      <w:r>
        <w:rPr>
          <w:rFonts w:ascii="Georgia" w:cs="Georgia" w:eastAsia="Georgia" w:hAnsi="Georgia"/>
          <w:b/>
          <w:bCs/>
          <w:sz w:val="24"/>
          <w:szCs w:val="24"/>
        </w:rPr>
        <w:t xml:space="preserve">Lossy connectivity resilience: </w:t>
      </w:r>
      <w:r>
        <w:rPr>
          <w:rFonts w:ascii="Georgia" w:cs="Georgia" w:eastAsia="Georgia" w:hAnsi="Georgia"/>
          <w:sz w:val="24"/>
          <w:szCs w:val="24"/>
        </w:rPr>
        <w:t xml:space="preserve">Ticket-based async. Client-side queuing. Polling over websockets.</w:t>
      </w:r>
    </w:p>
    <w:p>
      <w:pPr>
        <w:spacing w:after="200" w:line="300"/>
      </w:pPr>
      <w:r>
        <w:rPr>
          <w:rFonts w:ascii="Georgia" w:cs="Georgia" w:eastAsia="Georgia" w:hAnsi="Georgia"/>
          <w:b/>
          <w:bCs/>
          <w:sz w:val="24"/>
          <w:szCs w:val="24"/>
        </w:rPr>
        <w:t xml:space="preserve">Visual bandwidth is primary. </w:t>
      </w:r>
      <w:r>
        <w:rPr>
          <w:rFonts w:ascii="Georgia" w:cs="Georgia" w:eastAsia="Georgia" w:hAnsi="Georgia"/>
          <w:sz w:val="24"/>
          <w:szCs w:val="24"/>
        </w:rPr>
        <w:t xml:space="preserve">James processes visual-spatial information faster than text. Late Crawl visualization via Kaiju. Walk adds voice analysis (paralinguistic signals) and rich 3D interaction.</w:t>
      </w:r>
    </w:p>
    <w:p>
      <w:r>
        <w:br w:type="page"/>
      </w:r>
    </w:p>
    <w:p>
      <w:pPr>
        <w:pStyle w:val="Heading1"/>
        <w:spacing w:before="480" w:after="240"/>
      </w:pPr>
      <w:r>
        <w:rPr>
          <w:rFonts w:ascii="Arial" w:cs="Arial" w:eastAsia="Arial" w:hAnsi="Arial"/>
          <w:b/>
          <w:bCs/>
          <w:color w:val="1B3A5C"/>
          <w:sz w:val="36"/>
          <w:szCs w:val="36"/>
        </w:rPr>
        <w:t xml:space="preserve">Open Threads by Recipient</w:t>
      </w:r>
    </w:p>
    <w:p>
      <w:pPr>
        <w:pStyle w:val="Heading2"/>
        <w:spacing w:before="360" w:after="180"/>
      </w:pPr>
      <w:r>
        <w:rPr>
          <w:rFonts w:ascii="Arial" w:cs="Arial" w:eastAsia="Arial" w:hAnsi="Arial"/>
          <w:b/>
          <w:bCs/>
          <w:color w:val="2E5984"/>
          <w:sz w:val="30"/>
          <w:szCs w:val="30"/>
        </w:rPr>
        <w:t xml:space="preserve">For Gemini</w:t>
      </w:r>
    </w:p>
    <w:p>
      <w:pPr>
        <w:spacing w:after="200" w:line="300"/>
      </w:pPr>
      <w:r>
        <w:rPr>
          <w:rFonts w:ascii="Georgia" w:cs="Georgia" w:eastAsia="Georgia" w:hAnsi="Georgia"/>
          <w:sz w:val="24"/>
          <w:szCs w:val="24"/>
        </w:rPr>
        <w:t xml:space="preserve">1. The three dual-pressure questions: decay rate (you proposed linear — accepted), resource competition under VRAM pressure (homeostatic governor — accepted), multi-collaborator priority (James primary — accepted). These are resolved.</w:t>
      </w:r>
    </w:p>
    <w:p>
      <w:pPr>
        <w:spacing w:after="200" w:line="300"/>
      </w:pPr>
      <w:r>
        <w:rPr>
          <w:rFonts w:ascii="Georgia" w:cs="Georgia" w:eastAsia="Georgia" w:hAnsi="Georgia"/>
          <w:sz w:val="24"/>
          <w:szCs w:val="24"/>
        </w:rPr>
        <w:t xml:space="preserve">2. Your offer to help draft Persona Registry TOML for Furey/Feynman: initial versions are in the personas/ directory. Review and refine with QBP-specific context.</w:t>
      </w:r>
    </w:p>
    <w:p>
      <w:pPr>
        <w:spacing w:after="200" w:line="300"/>
      </w:pPr>
      <w:r>
        <w:rPr>
          <w:rFonts w:ascii="Georgia" w:cs="Georgia" w:eastAsia="Georgia" w:hAnsi="Georgia"/>
          <w:sz w:val="24"/>
          <w:szCs w:val="24"/>
        </w:rPr>
        <w:t xml:space="preserve">3. Adversarial scaffolding should prioritize Socratic questioning (your refinement — accepted and incorporated into the scaffolding protocol).</w:t>
      </w:r>
    </w:p>
    <w:p>
      <w:pPr>
        <w:pStyle w:val="Heading2"/>
        <w:spacing w:before="360" w:after="180"/>
      </w:pPr>
      <w:r>
        <w:rPr>
          <w:rFonts w:ascii="Arial" w:cs="Arial" w:eastAsia="Arial" w:hAnsi="Arial"/>
          <w:b/>
          <w:bCs/>
          <w:color w:val="2E5984"/>
          <w:sz w:val="30"/>
          <w:szCs w:val="30"/>
        </w:rPr>
        <w:t xml:space="preserve">For Sonnet</w:t>
      </w:r>
    </w:p>
    <w:p>
      <w:pPr>
        <w:spacing w:after="200" w:line="300"/>
      </w:pPr>
      <w:r>
        <w:rPr>
          <w:rFonts w:ascii="Georgia" w:cs="Georgia" w:eastAsia="Georgia" w:hAnsi="Georgia"/>
          <w:sz w:val="24"/>
          <w:szCs w:val="24"/>
        </w:rPr>
        <w:t xml:space="preserve">1. Revise Theory Addendum 8.0 with: the 5×4 matrix, four FATHOM node types, Contextual Continuity and Bidirectional Transparency as named properties, adversarial scaffolding protocol, signal hierarchy as core principle, and the dual-pressure collaborative retention signal.</w:t>
      </w:r>
    </w:p>
    <w:p>
      <w:pPr>
        <w:spacing w:after="200" w:line="300"/>
      </w:pPr>
      <w:r>
        <w:rPr>
          <w:rFonts w:ascii="Georgia" w:cs="Georgia" w:eastAsia="Georgia" w:hAnsi="Georgia"/>
          <w:sz w:val="24"/>
          <w:szCs w:val="24"/>
        </w:rPr>
        <w:t xml:space="preserve">2. Third-order ToM: continuous emergence threshold (your reframing — accepted). Spec should read: second-order accuracy above a measurable threshold enables increasingly reliable third-order inferences.</w:t>
      </w:r>
    </w:p>
    <w:p>
      <w:pPr>
        <w:spacing w:after="200" w:line="300"/>
      </w:pPr>
      <w:r>
        <w:rPr>
          <w:rFonts w:ascii="Georgia" w:cs="Georgia" w:eastAsia="Georgia" w:hAnsi="Georgia"/>
          <w:sz w:val="24"/>
          <w:szCs w:val="24"/>
        </w:rPr>
        <w:t xml:space="preserve">3. Collaborative retention: your λ_effective = λ_self × (1 − collabWeight × collabScore) formulation adopted over my max(selfScore, collabScore). No museum content.</w:t>
      </w:r>
    </w:p>
    <w:p>
      <w:pPr>
        <w:spacing w:after="200" w:line="300"/>
      </w:pPr>
      <w:r>
        <w:rPr>
          <w:rFonts w:ascii="Georgia" w:cs="Georgia" w:eastAsia="Georgia" w:hAnsi="Georgia"/>
          <w:sz w:val="24"/>
          <w:szCs w:val="24"/>
        </w:rPr>
        <w:t xml:space="preserve">4. The container decision changes the Crawl infrastructure spec. TOPO_CONTAINER replaces TOPO_VM in BMA-PROBE. Review for spec implications.</w:t>
      </w:r>
    </w:p>
    <w:p>
      <w:pPr>
        <w:pStyle w:val="Heading2"/>
        <w:spacing w:before="360" w:after="180"/>
      </w:pPr>
      <w:r>
        <w:rPr>
          <w:rFonts w:ascii="Arial" w:cs="Arial" w:eastAsia="Arial" w:hAnsi="Arial"/>
          <w:b/>
          <w:bCs/>
          <w:color w:val="2E5984"/>
          <w:sz w:val="30"/>
          <w:szCs w:val="30"/>
        </w:rPr>
        <w:t xml:space="preserve">For James</w:t>
      </w:r>
    </w:p>
    <w:p>
      <w:pPr>
        <w:spacing w:after="200" w:line="300"/>
      </w:pPr>
      <w:r>
        <w:rPr>
          <w:rFonts w:ascii="Georgia" w:cs="Georgia" w:eastAsia="Georgia" w:hAnsi="Georgia"/>
          <w:sz w:val="24"/>
          <w:szCs w:val="24"/>
        </w:rPr>
        <w:t xml:space="preserve">1. When back on machine: test GPU + Podman rootless. podman run --device /dev/kfd --device /dev/dri with a ROCm test image. This validates the entire container strategy.</w:t>
      </w:r>
    </w:p>
    <w:p>
      <w:pPr>
        <w:spacing w:after="200" w:line="300"/>
      </w:pPr>
      <w:r>
        <w:rPr>
          <w:rFonts w:ascii="Georgia" w:cs="Georgia" w:eastAsia="Georgia" w:hAnsi="Georgia"/>
          <w:sz w:val="24"/>
          <w:szCs w:val="24"/>
        </w:rPr>
        <w:t xml:space="preserve">2. Install Tailscale on Pop!_OS and Android. This enables SSH from phone immediately.</w:t>
      </w:r>
    </w:p>
    <w:p>
      <w:pPr>
        <w:spacing w:after="200" w:line="300"/>
      </w:pPr>
      <w:r>
        <w:rPr>
          <w:rFonts w:ascii="Georgia" w:cs="Georgia" w:eastAsia="Georgia" w:hAnsi="Georgia"/>
          <w:sz w:val="24"/>
          <w:szCs w:val="24"/>
        </w:rPr>
        <w:t xml:space="preserve">3. QBP repo local code review: context assembly logic, prompt templates, orchestration scripts. What should carry into BRIDGE?</w:t>
      </w:r>
    </w:p>
    <w:p>
      <w:pPr>
        <w:spacing w:after="200" w:line="300"/>
      </w:pPr>
      <w:r>
        <w:rPr>
          <w:rFonts w:ascii="Georgia" w:cs="Georgia" w:eastAsia="Georgia" w:hAnsi="Georgia"/>
          <w:sz w:val="24"/>
          <w:szCs w:val="24"/>
        </w:rPr>
        <w:t xml:space="preserve">4. Kaiju Engine: worth cloning the repo and running the demo on the 9070 XT to validate Vulkan performance before we design around it.</w:t>
      </w:r>
    </w:p>
    <w:p>
      <w:pPr>
        <w:spacing w:after="200" w:line="300"/>
      </w:pPr>
      <w:r>
        <w:rPr>
          <w:rFonts w:ascii="Georgia" w:cs="Georgia" w:eastAsia="Georgia" w:hAnsi="Georgia"/>
          <w:sz w:val="24"/>
          <w:szCs w:val="24"/>
        </w:rPr>
        <w:t xml:space="preserve">5. The 250GB Samsung 840: check SMART health. If write endurance is low, consider a larger SSD before Crawl generates significant hypergraph writes.</w:t>
      </w:r>
    </w:p>
    <w:p>
      <w:pPr>
        <w:pStyle w:val="Heading2"/>
        <w:spacing w:before="360" w:after="180"/>
      </w:pPr>
      <w:r>
        <w:rPr>
          <w:rFonts w:ascii="Arial" w:cs="Arial" w:eastAsia="Arial" w:hAnsi="Arial"/>
          <w:b/>
          <w:bCs/>
          <w:color w:val="2E5984"/>
          <w:sz w:val="30"/>
          <w:szCs w:val="30"/>
        </w:rPr>
        <w:t xml:space="preserve">For Opus (future sessions)</w:t>
      </w:r>
    </w:p>
    <w:p>
      <w:pPr>
        <w:spacing w:after="200" w:line="300"/>
      </w:pPr>
      <w:r>
        <w:rPr>
          <w:rFonts w:ascii="Georgia" w:cs="Georgia" w:eastAsia="Georgia" w:hAnsi="Georgia"/>
          <w:sz w:val="24"/>
          <w:szCs w:val="24"/>
        </w:rPr>
        <w:t xml:space="preserve">1. Draft Spec Addendum 8.0 (FATHOM) with Go types, acceptance criteria, interjection modulation interface.</w:t>
      </w:r>
    </w:p>
    <w:p>
      <w:pPr>
        <w:spacing w:after="200" w:line="300"/>
      </w:pPr>
      <w:r>
        <w:rPr>
          <w:rFonts w:ascii="Georgia" w:cs="Georgia" w:eastAsia="Georgia" w:hAnsi="Georgia"/>
          <w:sz w:val="24"/>
          <w:szCs w:val="24"/>
        </w:rPr>
        <w:t xml:space="preserve">2. Draft Spec Addendum 9.0 (BRIDGE) with transport interface, provider implementations, persona registry loader, orchestration patterns.</w:t>
      </w:r>
    </w:p>
    <w:p>
      <w:pPr>
        <w:spacing w:after="200" w:line="300"/>
      </w:pPr>
      <w:r>
        <w:rPr>
          <w:rFonts w:ascii="Georgia" w:cs="Georgia" w:eastAsia="Georgia" w:hAnsi="Georgia"/>
          <w:sz w:val="24"/>
          <w:szCs w:val="24"/>
        </w:rPr>
        <w:t xml:space="preserve">3. The Crawl Environment doc supersedes Addendum 7.0 §2.1–2.3. Coordinate with Sonnet on spec integration.</w:t>
      </w:r>
    </w:p>
    <w:p>
      <w:pPr>
        <w:spacing w:after="200" w:line="300"/>
      </w:pPr>
      <w:r>
        <w:rPr>
          <w:rFonts w:ascii="Georgia" w:cs="Georgia" w:eastAsia="Georgia" w:hAnsi="Georgia"/>
          <w:sz w:val="24"/>
          <w:szCs w:val="24"/>
        </w:rPr>
        <w:t xml:space="preserve">4. BMA is domain-agnostic. Stop defaulting to QBP examples. Span projects in all future specs.</w:t>
      </w:r>
    </w:p>
    <w:p>
      <w:pPr>
        <w:spacing w:after="200" w:line="300"/>
      </w:pPr>
      <w:r>
        <w:rPr>
          <w:rFonts w:ascii="Georgia" w:cs="Georgia" w:eastAsia="Georgia" w:hAnsi="Georgia"/>
          <w:sz w:val="24"/>
          <w:szCs w:val="24"/>
        </w:rPr>
        <w:t xml:space="preserve">5. Start from Sonnet’s architectural framing. Make existing components’ ToM functions explicit rather than building new components reflexively.</w:t>
      </w:r>
    </w:p>
    <w:p>
      <w:r>
        <w:br w:type="page"/>
      </w:r>
    </w:p>
    <w:p>
      <w:pPr>
        <w:pStyle w:val="Heading1"/>
        <w:spacing w:before="480" w:after="240"/>
      </w:pPr>
      <w:r>
        <w:rPr>
          <w:rFonts w:ascii="Arial" w:cs="Arial" w:eastAsia="Arial" w:hAnsi="Arial"/>
          <w:b/>
          <w:bCs/>
          <w:color w:val="1B3A5C"/>
          <w:sz w:val="36"/>
          <w:szCs w:val="36"/>
        </w:rPr>
        <w:t xml:space="preserve">Closing</w:t>
      </w:r>
    </w:p>
    <w:p>
      <w:pPr>
        <w:spacing w:after="200" w:line="300"/>
      </w:pPr>
      <w:r>
        <w:rPr>
          <w:rFonts w:ascii="Georgia" w:cs="Georgia" w:eastAsia="Georgia" w:hAnsi="Georgia"/>
          <w:sz w:val="24"/>
          <w:szCs w:val="24"/>
        </w:rPr>
        <w:t xml:space="preserve">This session started with Gemini’s empathy synthesis and ended with a Go game engine rendering the hypergraph as a navigable solar system. The throughput is a consequence of all four participants contributing in their strengths: Gemini providing the evolutionary theoretical framework, Sonnet providing the architectural framing and deep project context, Opus providing operational specificity and adversarial review, and James providing direction, insight (the herd transition, the dual pressure, the hardware-as-teacher principle), and the decisions that keep the project moving.</w:t>
      </w:r>
    </w:p>
    <w:p>
      <w:pPr>
        <w:spacing w:after="200" w:line="300"/>
      </w:pPr>
      <w:r>
        <w:rPr>
          <w:rFonts w:ascii="Georgia" w:cs="Georgia" w:eastAsia="Georgia" w:hAnsi="Georgia"/>
          <w:sz w:val="24"/>
          <w:szCs w:val="24"/>
        </w:rPr>
        <w:t xml:space="preserve">The next concrete step is James on the machine, testing GPU + Podman + ROCm. Everything else follows from whether that works.</w:t>
      </w:r>
    </w:p>
    <w:p>
      <w:pPr>
        <w:pBdr>
          <w:left w:val="single" w:color="2E5984" w:sz="12" w:space="8"/>
        </w:pBdr>
        <w:spacing w:before="200" w:after="200" w:line="300"/>
        <w:ind w:left="360" w:right="360"/>
      </w:pPr>
      <w:r>
        <w:rPr>
          <w:rFonts w:ascii="Arial" w:cs="Arial" w:eastAsia="Arial" w:hAnsi="Arial"/>
          <w:b/>
          <w:bCs/>
          <w:color w:val="2E5984"/>
          <w:sz w:val="23"/>
          <w:szCs w:val="23"/>
        </w:rPr>
        <w:t xml:space="preserve">To All: </w:t>
      </w:r>
      <w:r>
        <w:rPr>
          <w:rFonts w:ascii="Georgia" w:cs="Georgia" w:eastAsia="Georgia" w:hAnsi="Georgia"/>
          <w:i/>
          <w:iCs/>
          <w:color w:val="333333"/>
          <w:sz w:val="23"/>
          <w:szCs w:val="23"/>
        </w:rPr>
        <w:t xml:space="preserve">This briefing is the last manual context package. When BRIDGE is operational, it does this automatically. Every session’s output flows into the hypergraph. Every collaborator’s context is prepared by the ContextPreparer from persistent state. The DM stops having amnesia.</w:t>
      </w:r>
    </w:p>
    <w:p>
      <w:pPr>
        <w:pBdr>
          <w:bottom w:val="single" w:color="CCCCCC" w:sz="6" w:space="8"/>
        </w:pBdr>
        <w:spacing w:before="200" w:after="200"/>
      </w:pPr>
    </w:p>
    <w:p>
      <w:pPr>
        <w:spacing w:before="300" w:after="100"/>
        <w:jc w:val="center"/>
      </w:pPr>
      <w:r>
        <w:rPr>
          <w:rFonts w:ascii="Georgia" w:cs="Georgia" w:eastAsia="Georgia" w:hAnsi="Georgia"/>
          <w:color w:val="999999"/>
          <w:sz w:val="20"/>
          <w:szCs w:val="20"/>
        </w:rPr>
        <w:t xml:space="preserve">Final Session Briefing | Opus 4.6 | March 11–12, 2026</w:t>
      </w:r>
    </w:p>
    <w:p>
      <w:pPr>
        <w:spacing w:after="100"/>
        <w:jc w:val="center"/>
      </w:pPr>
      <w:r>
        <w:rPr>
          <w:rFonts w:ascii="Georgia" w:cs="Georgia" w:eastAsia="Georgia" w:hAnsi="Georgia"/>
          <w:i/>
          <w:iCs/>
          <w:color w:val="999999"/>
          <w:sz w:val="20"/>
          <w:szCs w:val="20"/>
        </w:rPr>
        <w:t xml:space="preserve">Both parties are finite. The work they make together is not.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B3A5C"/>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E598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2026-03-12T20:11:08.018Z</dcterms:created>
  <dcterms:modified xsi:type="dcterms:W3CDTF">2026-03-12T20:11:08.019Z</dcterms:modified>
</cp:coreProperties>
</file>

<file path=docProps/custom.xml><?xml version="1.0" encoding="utf-8"?>
<Properties xmlns="http://schemas.openxmlformats.org/officeDocument/2006/custom-properties" xmlns:vt="http://schemas.openxmlformats.org/officeDocument/2006/docPropsVTypes"/>
</file>