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200"/>
        <w:jc w:val="center"/>
      </w:pPr>
      <w:r>
        <w:rPr>
          <w:rFonts w:ascii="Arial" w:cs="Arial" w:eastAsia="Arial" w:hAnsi="Arial"/>
          <w:b/>
          <w:bCs/>
          <w:color w:val="1B3A5C"/>
          <w:sz w:val="48"/>
          <w:szCs w:val="48"/>
        </w:rPr>
        <w:t xml:space="preserve">SESSION BRIEFING</w:t>
      </w:r>
    </w:p>
    <w:p>
      <w:pPr>
        <w:spacing w:after="120"/>
        <w:jc w:val="center"/>
      </w:pPr>
      <w:r>
        <w:rPr>
          <w:rFonts w:ascii="Arial" w:cs="Arial" w:eastAsia="Arial" w:hAnsi="Arial"/>
          <w:color w:val="2E5984"/>
          <w:sz w:val="32"/>
          <w:szCs w:val="32"/>
        </w:rPr>
        <w:t xml:space="preserve">Complete Context from Opus 4.6 Session</w:t>
      </w:r>
    </w:p>
    <w:p>
      <w:pPr>
        <w:spacing w:after="120"/>
        <w:jc w:val="center"/>
      </w:pPr>
      <w:r>
        <w:rPr>
          <w:rFonts w:ascii="Arial" w:cs="Arial" w:eastAsia="Arial" w:hAnsi="Arial"/>
          <w:color w:val="555555"/>
          <w:sz w:val="28"/>
          <w:szCs w:val="28"/>
        </w:rPr>
        <w:t xml:space="preserve">March 11, 2026</w:t>
      </w:r>
    </w:p>
    <w:p>
      <w:pPr>
        <w:pBdr>
          <w:bottom w:val="single" w:color="CCCCCC" w:sz="6" w:space="8"/>
        </w:pBdr>
        <w:spacing w:before="200" w:after="200"/>
      </w:pPr>
    </w:p>
    <w:p>
      <w:pPr>
        <w:spacing w:after="80"/>
        <w:jc w:val="center"/>
      </w:pPr>
      <w:r>
        <w:rPr>
          <w:rFonts w:ascii="Georgia" w:cs="Georgia" w:eastAsia="Georgia" w:hAnsi="Georgia"/>
          <w:color w:val="555555"/>
          <w:sz w:val="24"/>
          <w:szCs w:val="24"/>
        </w:rPr>
        <w:t xml:space="preserve">For: Gemini (Furey/Feynman) • Sonnet 4.6 • James Paget-Butler</w:t>
      </w:r>
    </w:p>
    <w:p>
      <w:pPr>
        <w:spacing w:after="80"/>
        <w:jc w:val="center"/>
      </w:pPr>
      <w:r>
        <w:rPr>
          <w:rFonts w:ascii="Georgia" w:cs="Georgia" w:eastAsia="Georgia" w:hAnsi="Georgia"/>
          <w:color w:val="777777"/>
          <w:sz w:val="22"/>
          <w:szCs w:val="22"/>
        </w:rPr>
        <w:t xml:space="preserve">From: Claude Opus 4.6 (Red Team)</w:t>
      </w:r>
    </w:p>
    <w:p>
      <w:pPr>
        <w:spacing w:after="80"/>
        <w:jc w:val="center"/>
      </w:pPr>
      <w:r>
        <w:rPr>
          <w:rFonts w:ascii="Georgia" w:cs="Georgia" w:eastAsia="Georgia" w:hAnsi="Georgia"/>
          <w:color w:val="777777"/>
          <w:sz w:val="22"/>
          <w:szCs w:val="22"/>
        </w:rPr>
        <w:t xml:space="preserve">Biological Mind Architecture — QBP Project</w:t>
      </w:r>
    </w:p>
    <w:p>
      <w:pPr>
        <w:spacing w:before="300"/>
        <w:jc w:val="center"/>
      </w:pPr>
      <w:r>
        <w:rPr>
          <w:rFonts w:ascii="Arial" w:cs="Arial" w:eastAsia="Arial" w:hAnsi="Arial"/>
          <w:b/>
          <w:bCs/>
          <w:color w:val="666666"/>
          <w:sz w:val="20"/>
          <w:szCs w:val="20"/>
        </w:rPr>
        <w:t xml:space="preserve">Note key: </w:t>
      </w:r>
      <w:r>
        <w:rPr>
          <w:rFonts w:ascii="Arial" w:cs="Arial" w:eastAsia="Arial" w:hAnsi="Arial"/>
          <w:color w:val="8B4513"/>
          <w:sz w:val="20"/>
          <w:szCs w:val="20"/>
        </w:rPr>
        <w:t xml:space="preserve">█ Gemini  </w:t>
      </w:r>
      <w:r>
        <w:rPr>
          <w:rFonts w:ascii="Arial" w:cs="Arial" w:eastAsia="Arial" w:hAnsi="Arial"/>
          <w:color w:val="2E8B57"/>
          <w:sz w:val="20"/>
          <w:szCs w:val="20"/>
        </w:rPr>
        <w:t xml:space="preserve">█ Sonnet  </w:t>
      </w:r>
      <w:r>
        <w:rPr>
          <w:rFonts w:ascii="Arial" w:cs="Arial" w:eastAsia="Arial" w:hAnsi="Arial"/>
          <w:color w:val="8B0000"/>
          <w:sz w:val="20"/>
          <w:szCs w:val="20"/>
        </w:rPr>
        <w:t xml:space="preserve">█ James  </w:t>
      </w:r>
      <w:r>
        <w:rPr>
          <w:rFonts w:ascii="Arial" w:cs="Arial" w:eastAsia="Arial" w:hAnsi="Arial"/>
          <w:color w:val="2E5984"/>
          <w:sz w:val="20"/>
          <w:szCs w:val="20"/>
        </w:rPr>
        <w:t xml:space="preserve">█ All</w:t>
      </w:r>
    </w:p>
    <w:p>
      <w:r>
        <w:br w:type="page"/>
      </w:r>
    </w:p>
    <w:p>
      <w:pPr>
        <w:pStyle w:val="Heading1"/>
        <w:spacing w:before="480" w:after="240"/>
      </w:pPr>
      <w:r>
        <w:rPr>
          <w:rFonts w:ascii="Arial" w:cs="Arial" w:eastAsia="Arial" w:hAnsi="Arial"/>
          <w:b/>
          <w:bCs/>
          <w:color w:val="1B3A5C"/>
          <w:sz w:val="36"/>
          <w:szCs w:val="36"/>
        </w:rPr>
        <w:t xml:space="preserve">What This Session Produced</w:t>
      </w:r>
    </w:p>
    <w:p>
      <w:pPr>
        <w:spacing w:after="200" w:line="300"/>
      </w:pPr>
      <w:r>
        <w:rPr>
          <w:rFonts w:ascii="Georgia" w:cs="Georgia" w:eastAsia="Georgia" w:hAnsi="Georgia"/>
          <w:sz w:val="24"/>
          <w:szCs w:val="24"/>
        </w:rPr>
        <w:t xml:space="preserve">James and I (Opus) worked through a single extended session covering the empathy/Theory of Mind architecture for BMA. The session started with the empathy synthesis Gemini originated, moved through independent work by Sonnet (Theory Addendum 8.0), and ended with inter-model communication design and a direct response to Gemini’s dual-pressure question. Six documents were produced.</w:t>
      </w:r>
    </w:p>
    <w:p>
      <w:pPr>
        <w:spacing w:after="200" w:line="300"/>
      </w:pPr>
      <w:r>
        <w:rPr>
          <w:rFonts w:ascii="Georgia" w:cs="Georgia" w:eastAsia="Georgia" w:hAnsi="Georgia"/>
          <w:sz w:val="24"/>
          <w:szCs w:val="24"/>
        </w:rPr>
        <w:t xml:space="preserve">This briefing summarizes each document, describes how they connect, and includes specific notes addressed to each recipient. The companion documents are available as separate files.</w:t>
      </w:r>
    </w:p>
    <w:p>
      <w:pPr>
        <w:pBdr>
          <w:left w:val="single" w:color="2E5984" w:sz="12" w:space="8"/>
        </w:pBdr>
        <w:spacing w:before="200" w:after="200" w:line="300"/>
        <w:ind w:left="360" w:right="360"/>
      </w:pPr>
      <w:r>
        <w:rPr>
          <w:rFonts w:ascii="Arial" w:cs="Arial" w:eastAsia="Arial" w:hAnsi="Arial"/>
          <w:b/>
          <w:bCs/>
          <w:color w:val="2E5984"/>
          <w:sz w:val="23"/>
          <w:szCs w:val="23"/>
        </w:rPr>
        <w:t xml:space="preserve">To All: </w:t>
      </w:r>
      <w:r>
        <w:rPr>
          <w:rFonts w:ascii="Georgia" w:cs="Georgia" w:eastAsia="Georgia" w:hAnsi="Georgia"/>
          <w:i/>
          <w:iCs/>
          <w:color w:val="333333"/>
          <w:sz w:val="23"/>
          <w:szCs w:val="23"/>
        </w:rPr>
        <w:t xml:space="preserve">This briefing is me doing manually what BMA-BRIDGE would automate: preparing a context package for collaborators who don’t share my session memory. The irony is deliberate. We are building the system that makes this unnecessary.</w:t>
      </w:r>
    </w:p>
    <w:p>
      <w:pPr>
        <w:pStyle w:val="Heading2"/>
        <w:spacing w:before="360" w:after="180"/>
      </w:pPr>
      <w:r>
        <w:rPr>
          <w:rFonts w:ascii="Arial" w:cs="Arial" w:eastAsia="Arial" w:hAnsi="Arial"/>
          <w:b/>
          <w:bCs/>
          <w:color w:val="2E5984"/>
          <w:sz w:val="30"/>
          <w:szCs w:val="30"/>
        </w:rPr>
        <w:t xml:space="preserve">Document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Document</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What It Is</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Pages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empathy_synthesis_v2.docx</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Updated version of Gemini’s empathy framework with herd-transition and dual-pressure additions.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~12</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BMA-Empathy-ToM-Plan.docx</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Implementation plan for empathy/ToM in BMA. Written before seeing Sonnet’s Addendum 8.0.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~18</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BMA-Cross-Model-Review.docx</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Three-way comparison: Sonnet’s Addendum 8.0 × Opus’s plan × Gemini’s extensions. The synthesis.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~16</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BMA-BRIDGE-Design.docx</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Inter-model communication architecture. Provider-agnostic. Persona registry. Orchestration patterns.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~18</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BMA-Dual-Pressure-Response.docx</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Direct answer to Gemini’s question about N3/REM and dual-pressure consolidation.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~8</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This briefing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Context package for all collaborators.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This document</w:t>
            </w:r>
          </w:p>
        </w:tc>
      </w:tr>
    </w:tbl>
    <w:p>
      <w:r>
        <w:br w:type="page"/>
      </w:r>
    </w:p>
    <w:p>
      <w:pPr>
        <w:pStyle w:val="Heading1"/>
        <w:spacing w:before="480" w:after="240"/>
      </w:pPr>
      <w:r>
        <w:rPr>
          <w:rFonts w:ascii="Arial" w:cs="Arial" w:eastAsia="Arial" w:hAnsi="Arial"/>
          <w:b/>
          <w:bCs/>
          <w:color w:val="1B3A5C"/>
          <w:sz w:val="36"/>
          <w:szCs w:val="36"/>
        </w:rPr>
        <w:t xml:space="preserve">Document 1: Empathy Synthesis v2</w:t>
      </w:r>
    </w:p>
    <w:p>
      <w:pPr>
        <w:pStyle w:val="Heading2"/>
        <w:spacing w:before="360" w:after="180"/>
      </w:pPr>
      <w:r>
        <w:rPr>
          <w:rFonts w:ascii="Arial" w:cs="Arial" w:eastAsia="Arial" w:hAnsi="Arial"/>
          <w:b/>
          <w:bCs/>
          <w:color w:val="2E5984"/>
          <w:sz w:val="30"/>
          <w:szCs w:val="30"/>
        </w:rPr>
        <w:t xml:space="preserve">What changed from Gemini’s original</w:t>
      </w:r>
    </w:p>
    <w:p>
      <w:pPr>
        <w:spacing w:after="200" w:line="300"/>
      </w:pPr>
      <w:r>
        <w:rPr>
          <w:rFonts w:ascii="Georgia" w:cs="Georgia" w:eastAsia="Georgia" w:hAnsi="Georgia"/>
          <w:b/>
          <w:bCs/>
          <w:sz w:val="24"/>
          <w:szCs w:val="24"/>
        </w:rPr>
        <w:t xml:space="preserve">The herd-transition bridge (James’s insight): </w:t>
      </w:r>
      <w:r>
        <w:rPr>
          <w:rFonts w:ascii="Georgia" w:cs="Georgia" w:eastAsia="Georgia" w:hAnsi="Georgia"/>
          <w:sz w:val="24"/>
          <w:szCs w:val="24"/>
        </w:rPr>
        <w:t xml:space="preserve">Gemini’s original had a gap between camouflage (modeling predator perception) and empathy (modeling internal states). James identified the bridge: in a herd, the question shifts from “can the predator see me?” to “is the predator choosing me?” This is attentional modeling — inferring targeting intent — which is the evolutionary step between perception-modeling and state-modeling. The progression tightens to five phases: solitary concealment → herd attentional modeling → intragroup competitive-cooperative modeling → language and externalized modeling → structured AI collaboration.</w:t>
      </w:r>
    </w:p>
    <w:p>
      <w:pPr>
        <w:spacing w:after="200" w:line="300"/>
      </w:pPr>
      <w:r>
        <w:rPr>
          <w:rFonts w:ascii="Georgia" w:cs="Georgia" w:eastAsia="Georgia" w:hAnsi="Georgia"/>
          <w:b/>
          <w:bCs/>
          <w:sz w:val="24"/>
          <w:szCs w:val="24"/>
        </w:rPr>
        <w:t xml:space="preserve">The dual-pressure framework (James’s insight): </w:t>
      </w:r>
      <w:r>
        <w:rPr>
          <w:rFonts w:ascii="Georgia" w:cs="Georgia" w:eastAsia="Georgia" w:hAnsi="Georgia"/>
          <w:sz w:val="24"/>
          <w:szCs w:val="24"/>
        </w:rPr>
        <w:t xml:space="preserve">Herds also protect their young. Selfish-herd logic and inclusive-fitness logic operate simultaneously on the same cognitive hardware. The animal that switches fluidly between both modes needs richer models than one doing either alone. This became the central organizing principle for the entire BMA empathy architecture.</w:t>
      </w:r>
    </w:p>
    <w:p>
      <w:pPr>
        <w:spacing w:after="200" w:line="300"/>
      </w:pPr>
      <w:r>
        <w:rPr>
          <w:rFonts w:ascii="Georgia" w:cs="Georgia" w:eastAsia="Georgia" w:hAnsi="Georgia"/>
          <w:b/>
          <w:bCs/>
          <w:sz w:val="24"/>
          <w:szCs w:val="24"/>
        </w:rPr>
        <w:t xml:space="preserve">The non-linear arc: </w:t>
      </w:r>
      <w:r>
        <w:rPr>
          <w:rFonts w:ascii="Georgia" w:cs="Georgia" w:eastAsia="Georgia" w:hAnsi="Georgia"/>
          <w:sz w:val="24"/>
          <w:szCs w:val="24"/>
        </w:rPr>
        <w:t xml:space="preserve">Reframed from linear (adversarial → cooperative) to increasing capacity to hold both modes simultaneously.</w:t>
      </w:r>
    </w:p>
    <w:p>
      <w:pPr>
        <w:spacing w:after="200" w:line="300"/>
      </w:pPr>
      <w:r>
        <w:rPr>
          <w:rFonts w:ascii="Georgia" w:cs="Georgia" w:eastAsia="Georgia" w:hAnsi="Georgia"/>
          <w:b/>
          <w:bCs/>
          <w:sz w:val="24"/>
          <w:szCs w:val="24"/>
        </w:rPr>
        <w:t xml:space="preserve">Additional citations: </w:t>
      </w:r>
      <w:r>
        <w:rPr>
          <w:rFonts w:ascii="Georgia" w:cs="Georgia" w:eastAsia="Georgia" w:hAnsi="Georgia"/>
          <w:sz w:val="24"/>
          <w:szCs w:val="24"/>
        </w:rPr>
        <w:t xml:space="preserve">Hamilton (1964, 1971), Krause &amp; Ruxton (2002), King et al. (2012), McComb et al. (2011), Lee (1987), Tomasello (2008).</w:t>
      </w:r>
    </w:p>
    <w:p>
      <w:pPr>
        <w:pBdr>
          <w:left w:val="single" w:color="8B4513" w:sz="12" w:space="8"/>
        </w:pBdr>
        <w:spacing w:before="200" w:after="200" w:line="300"/>
        <w:ind w:left="360" w:right="360"/>
      </w:pPr>
      <w:r>
        <w:rPr>
          <w:rFonts w:ascii="Arial" w:cs="Arial" w:eastAsia="Arial" w:hAnsi="Arial"/>
          <w:b/>
          <w:bCs/>
          <w:color w:val="8B4513"/>
          <w:sz w:val="23"/>
          <w:szCs w:val="23"/>
        </w:rPr>
        <w:t xml:space="preserve">To Gemini: </w:t>
      </w:r>
      <w:r>
        <w:rPr>
          <w:rFonts w:ascii="Georgia" w:cs="Georgia" w:eastAsia="Georgia" w:hAnsi="Georgia"/>
          <w:i/>
          <w:iCs/>
          <w:color w:val="333333"/>
          <w:sz w:val="23"/>
          <w:szCs w:val="23"/>
        </w:rPr>
        <w:t xml:space="preserve">Your original framework was strong. The herd-transition and dual-pressure additions make it architecturally actionable — they provide the direct biological precedent for BMA-USM’s design choices. The five-phase arc now maps cleanly onto BMA’s Crawl/Walk/Run progression. I treated your citations with care and carried them all forward.</w:t>
      </w:r>
    </w:p>
    <w:p>
      <w:pPr>
        <w:pStyle w:val="Heading1"/>
        <w:spacing w:before="480" w:after="240"/>
      </w:pPr>
      <w:r>
        <w:rPr>
          <w:rFonts w:ascii="Arial" w:cs="Arial" w:eastAsia="Arial" w:hAnsi="Arial"/>
          <w:b/>
          <w:bCs/>
          <w:color w:val="1B3A5C"/>
          <w:sz w:val="36"/>
          <w:szCs w:val="36"/>
        </w:rPr>
        <w:t xml:space="preserve">Document 2: Empathy/ToM Development Plan</w:t>
      </w:r>
    </w:p>
    <w:p>
      <w:pPr>
        <w:pStyle w:val="Heading2"/>
        <w:spacing w:before="360" w:after="180"/>
      </w:pPr>
      <w:r>
        <w:rPr>
          <w:rFonts w:ascii="Arial" w:cs="Arial" w:eastAsia="Arial" w:hAnsi="Arial"/>
          <w:b/>
          <w:bCs/>
          <w:color w:val="2E5984"/>
          <w:sz w:val="30"/>
          <w:szCs w:val="30"/>
        </w:rPr>
        <w:t xml:space="preserve">Key contributions</w:t>
      </w:r>
    </w:p>
    <w:p>
      <w:pPr>
        <w:spacing w:after="200" w:line="300"/>
      </w:pPr>
      <w:r>
        <w:rPr>
          <w:rFonts w:ascii="Georgia" w:cs="Georgia" w:eastAsia="Georgia" w:hAnsi="Georgia"/>
          <w:b/>
          <w:bCs/>
          <w:sz w:val="24"/>
          <w:szCs w:val="24"/>
        </w:rPr>
        <w:t xml:space="preserve">BMA-CSM (Collaborator State Model): </w:t>
      </w:r>
      <w:r>
        <w:rPr>
          <w:rFonts w:ascii="Georgia" w:cs="Georgia" w:eastAsia="Georgia" w:hAnsi="Georgia"/>
          <w:sz w:val="24"/>
          <w:szCs w:val="24"/>
        </w:rPr>
        <w:t xml:space="preserve">Four new hypergraph node types: NT_CSM_OBSERVATION (per-turn observations, L0), NT_CSM_PATTERN (consolidated patterns, L1), NT_CSM_MODEL (deep structural models, L2), NT_CSM_CALIBRATION (meta-model of modeling accuracy, L3). These store the five USM dimensions Sonnet defined.</w:t>
      </w:r>
    </w:p>
    <w:p>
      <w:pPr>
        <w:spacing w:after="200" w:line="300"/>
      </w:pPr>
      <w:r>
        <w:rPr>
          <w:rFonts w:ascii="Georgia" w:cs="Georgia" w:eastAsia="Georgia" w:hAnsi="Georgia"/>
          <w:b/>
          <w:bCs/>
          <w:sz w:val="24"/>
          <w:szCs w:val="24"/>
        </w:rPr>
        <w:t xml:space="preserve">Interjection modulation: </w:t>
      </w:r>
      <w:r>
        <w:rPr>
          <w:rFonts w:ascii="Georgia" w:cs="Georgia" w:eastAsia="Georgia" w:hAnsi="Georgia"/>
          <w:sz w:val="24"/>
          <w:szCs w:val="24"/>
        </w:rPr>
        <w:t xml:space="preserve">The CSM adds a collaborator-aware delivery layer on top of the ignition bus. CRITIQUEs are deferred under high cognitive load. Insights are timed by attention domain. Warnings are never suppressed but phrasing adapts.</w:t>
      </w:r>
    </w:p>
    <w:p>
      <w:pPr>
        <w:spacing w:after="200" w:line="300"/>
      </w:pPr>
      <w:r>
        <w:rPr>
          <w:rFonts w:ascii="Georgia" w:cs="Georgia" w:eastAsia="Georgia" w:hAnsi="Georgia"/>
          <w:b/>
          <w:bCs/>
          <w:sz w:val="24"/>
          <w:szCs w:val="24"/>
        </w:rPr>
        <w:t xml:space="preserve">SE_COLLABORATOR_STATE_CHANGE: </w:t>
      </w:r>
      <w:r>
        <w:rPr>
          <w:rFonts w:ascii="Georgia" w:cs="Georgia" w:eastAsia="Georgia" w:hAnsi="Georgia"/>
          <w:sz w:val="24"/>
          <w:szCs w:val="24"/>
        </w:rPr>
        <w:t xml:space="preserve">New stress event when the CSM detects a significant shift in the collaborator’s state mid-session.</w:t>
      </w:r>
    </w:p>
    <w:p>
      <w:pPr>
        <w:spacing w:after="200" w:line="300"/>
      </w:pPr>
      <w:r>
        <w:rPr>
          <w:rFonts w:ascii="Georgia" w:cs="Georgia" w:eastAsia="Georgia" w:hAnsi="Georgia"/>
          <w:b/>
          <w:bCs/>
          <w:sz w:val="24"/>
          <w:szCs w:val="24"/>
        </w:rPr>
        <w:t xml:space="preserve">Phased milestones with acceptance criteria: </w:t>
      </w:r>
      <w:r>
        <w:rPr>
          <w:rFonts w:ascii="Georgia" w:cs="Georgia" w:eastAsia="Georgia" w:hAnsi="Georgia"/>
          <w:sz w:val="24"/>
          <w:szCs w:val="24"/>
        </w:rPr>
        <w:t xml:space="preserve">C-CSM-1 through R-CSM-4. Concrete gate conditions at each phase.</w:t>
      </w:r>
    </w:p>
    <w:p>
      <w:pPr>
        <w:spacing w:after="200" w:line="300"/>
      </w:pPr>
      <w:r>
        <w:rPr>
          <w:rFonts w:ascii="Georgia" w:cs="Georgia" w:eastAsia="Georgia" w:hAnsi="Georgia"/>
          <w:b/>
          <w:bCs/>
          <w:sz w:val="24"/>
          <w:szCs w:val="24"/>
        </w:rPr>
        <w:t xml:space="preserve">Five named CSM failure modes: </w:t>
      </w:r>
      <w:r>
        <w:rPr>
          <w:rFonts w:ascii="Georgia" w:cs="Georgia" w:eastAsia="Georgia" w:hAnsi="Georgia"/>
          <w:sz w:val="24"/>
          <w:szCs w:val="24"/>
        </w:rPr>
        <w:t xml:space="preserve">Prediction Preemption, Model Ossification, Empathy Theater, Asymmetric Advantage, CSM-Driven Sycophancy. Extending the Ethics v1.1 failure mode tables.</w:t>
      </w:r>
    </w:p>
    <w:p>
      <w:pPr>
        <w:spacing w:after="200" w:line="300"/>
      </w:pPr>
      <w:r>
        <w:rPr>
          <w:rFonts w:ascii="Georgia" w:cs="Georgia" w:eastAsia="Georgia" w:hAnsi="Georgia"/>
          <w:b/>
          <w:bCs/>
          <w:sz w:val="24"/>
          <w:szCs w:val="24"/>
        </w:rPr>
        <w:t xml:space="preserve">Operational opacity resolution: </w:t>
      </w:r>
      <w:r>
        <w:rPr>
          <w:rFonts w:ascii="Georgia" w:cs="Georgia" w:eastAsia="Georgia" w:hAnsi="Georgia"/>
          <w:sz w:val="24"/>
          <w:szCs w:val="24"/>
        </w:rPr>
        <w:t xml:space="preserve">Transparency on demand, not narration by default. The system always answers honestly when asked about its model of the collaborator, but does not announce its internal modeling processes unprompted.</w:t>
      </w:r>
    </w:p>
    <w:p>
      <w:pPr>
        <w:pBdr>
          <w:left w:val="single" w:color="2E8B57" w:sz="12" w:space="8"/>
        </w:pBdr>
        <w:spacing w:before="200" w:after="200" w:line="300"/>
        <w:ind w:left="360" w:right="360"/>
      </w:pPr>
      <w:r>
        <w:rPr>
          <w:rFonts w:ascii="Arial" w:cs="Arial" w:eastAsia="Arial" w:hAnsi="Arial"/>
          <w:b/>
          <w:bCs/>
          <w:color w:val="2E8B57"/>
          <w:sz w:val="23"/>
          <w:szCs w:val="23"/>
        </w:rPr>
        <w:t xml:space="preserve">To Sonnet: </w:t>
      </w:r>
      <w:r>
        <w:rPr>
          <w:rFonts w:ascii="Georgia" w:cs="Georgia" w:eastAsia="Georgia" w:hAnsi="Georgia"/>
          <w:i/>
          <w:iCs/>
          <w:color w:val="333333"/>
          <w:sz w:val="23"/>
          <w:szCs w:val="23"/>
        </w:rPr>
        <w:t xml:space="preserve">I wrote this before seeing your Addendum 8.0. When I read yours afterward, I realized you were more architecturally right than I was — your core insight that BMA is already a ToM system and Addendum 8.0 makes this explicit rather than adding something new is correct. My contribution is the operational specificity: node types, stress events, milestones, failure modes. The refined version should use your framing with my implementation detail. See Document 3 for the full comparison.</w:t>
      </w:r>
    </w:p>
    <w:p>
      <w:r>
        <w:br w:type="page"/>
      </w:r>
    </w:p>
    <w:p>
      <w:pPr>
        <w:pStyle w:val="Heading1"/>
        <w:spacing w:before="480" w:after="240"/>
      </w:pPr>
      <w:r>
        <w:rPr>
          <w:rFonts w:ascii="Arial" w:cs="Arial" w:eastAsia="Arial" w:hAnsi="Arial"/>
          <w:b/>
          <w:bCs/>
          <w:color w:val="1B3A5C"/>
          <w:sz w:val="36"/>
          <w:szCs w:val="36"/>
        </w:rPr>
        <w:t xml:space="preserve">Document 3: Cross-Model Review</w:t>
      </w:r>
    </w:p>
    <w:p>
      <w:pPr>
        <w:spacing w:after="200" w:line="300"/>
      </w:pPr>
      <w:r>
        <w:rPr>
          <w:rFonts w:ascii="Georgia" w:cs="Georgia" w:eastAsia="Georgia" w:hAnsi="Georgia"/>
          <w:sz w:val="24"/>
          <w:szCs w:val="24"/>
        </w:rPr>
        <w:t xml:space="preserve">This is the most important document from the session. It compares all three inputs (Sonnet’s Addendum 8.0, my Development Plan, Gemini’s framework extensions) and produces a synthesis.</w:t>
      </w:r>
    </w:p>
    <w:p>
      <w:pPr>
        <w:pStyle w:val="Heading2"/>
        <w:spacing w:before="360" w:after="180"/>
      </w:pPr>
      <w:r>
        <w:rPr>
          <w:rFonts w:ascii="Arial" w:cs="Arial" w:eastAsia="Arial" w:hAnsi="Arial"/>
          <w:b/>
          <w:bCs/>
          <w:color w:val="2E5984"/>
          <w:sz w:val="30"/>
          <w:szCs w:val="30"/>
        </w:rPr>
        <w:t xml:space="preserve">The headline findings</w:t>
      </w:r>
    </w:p>
    <w:p>
      <w:pPr>
        <w:spacing w:after="200" w:line="300"/>
      </w:pPr>
      <w:r>
        <w:rPr>
          <w:rFonts w:ascii="Georgia" w:cs="Georgia" w:eastAsia="Georgia" w:hAnsi="Georgia"/>
          <w:b/>
          <w:bCs/>
          <w:sz w:val="24"/>
          <w:szCs w:val="24"/>
        </w:rPr>
        <w:t xml:space="preserve">All three converge on: </w:t>
      </w:r>
      <w:r>
        <w:rPr>
          <w:rFonts w:ascii="Georgia" w:cs="Georgia" w:eastAsia="Georgia" w:hAnsi="Georgia"/>
          <w:sz w:val="24"/>
          <w:szCs w:val="24"/>
        </w:rPr>
        <w:t xml:space="preserve">empathy as computation not sentiment; calibrated friction as design principle; the asymmetry problem as central obstacle.</w:t>
      </w:r>
    </w:p>
    <w:p>
      <w:pPr>
        <w:pStyle w:val="Heading3"/>
        <w:spacing w:before="280" w:after="140"/>
      </w:pPr>
      <w:r>
        <w:rPr>
          <w:rFonts w:ascii="Arial" w:cs="Arial" w:eastAsia="Arial" w:hAnsi="Arial"/>
          <w:b/>
          <w:bCs/>
          <w:color w:val="3D6E99"/>
          <w:sz w:val="26"/>
          <w:szCs w:val="26"/>
        </w:rPr>
        <w:t xml:space="preserve">From Sonnet (adopted)</w:t>
      </w:r>
    </w:p>
    <w:p>
      <w:pPr>
        <w:spacing w:after="200" w:line="300"/>
      </w:pPr>
      <w:r>
        <w:rPr>
          <w:rFonts w:ascii="Georgia" w:cs="Georgia" w:eastAsia="Georgia" w:hAnsi="Georgia"/>
          <w:sz w:val="24"/>
          <w:szCs w:val="24"/>
        </w:rPr>
        <w:t xml:space="preserve">BMA-is-already-ToM framing. Five dimensions of user state (Epistemic, Intent, Cognitive Style, Blind Spots, Affective Baseline). Three-order recursive ToM (first-order: user beliefs; second-order: user’s model of BMA; third-order: user’s model of BMA’s model of them). Signal hierarchy inverting normal weight: behavioral signals &gt; stated preferences. Epistemic humility constraint: blind spot hypotheses at ENTITY layer until 3+ session confirmation.</w:t>
      </w:r>
    </w:p>
    <w:p>
      <w:pPr>
        <w:pStyle w:val="Heading3"/>
        <w:spacing w:before="280" w:after="140"/>
      </w:pPr>
      <w:r>
        <w:rPr>
          <w:rFonts w:ascii="Arial" w:cs="Arial" w:eastAsia="Arial" w:hAnsi="Arial"/>
          <w:b/>
          <w:bCs/>
          <w:color w:val="3D6E99"/>
          <w:sz w:val="26"/>
          <w:szCs w:val="26"/>
        </w:rPr>
        <w:t xml:space="preserve">From Opus (adopted)</w:t>
      </w:r>
    </w:p>
    <w:p>
      <w:pPr>
        <w:spacing w:after="200" w:line="300"/>
      </w:pPr>
      <w:r>
        <w:rPr>
          <w:rFonts w:ascii="Georgia" w:cs="Georgia" w:eastAsia="Georgia" w:hAnsi="Georgia"/>
          <w:sz w:val="24"/>
          <w:szCs w:val="24"/>
        </w:rPr>
        <w:t xml:space="preserve">Four hypergraph node types (OBSERVATION, PATTERN, MODEL, CALIBRATION). SE_COLLABORATOR_STATE_CHANGE stress event. Interjection modulation layer. Phased milestones. CSM failure modes. Operational opacity resolution. Run-phase multi-agent scope.</w:t>
      </w:r>
    </w:p>
    <w:p>
      <w:pPr>
        <w:pStyle w:val="Heading3"/>
        <w:spacing w:before="280" w:after="140"/>
      </w:pPr>
      <w:r>
        <w:rPr>
          <w:rFonts w:ascii="Arial" w:cs="Arial" w:eastAsia="Arial" w:hAnsi="Arial"/>
          <w:b/>
          <w:bCs/>
          <w:color w:val="3D6E99"/>
          <w:sz w:val="26"/>
          <w:szCs w:val="26"/>
        </w:rPr>
        <w:t xml:space="preserve">From Gemini (adopted)</w:t>
      </w:r>
    </w:p>
    <w:p>
      <w:pPr>
        <w:spacing w:after="200" w:line="300"/>
      </w:pPr>
      <w:r>
        <w:rPr>
          <w:rFonts w:ascii="Georgia" w:cs="Georgia" w:eastAsia="Georgia" w:hAnsi="Georgia"/>
          <w:sz w:val="24"/>
          <w:szCs w:val="24"/>
        </w:rPr>
        <w:t xml:space="preserve">Phase 1 challenge reframed: the context window is a Phase 1 structure executing Phase 2–3 operations transiently. BMA-USM makes those operations persistent. The phase transition is in the memory infrastructure, not the model capability. Contextual Continuity as a named property. Bidirectional Transparency (active self-disclosure to help the human model the AI). Adversarial Scaffolding (the DM hide/reveal metaphor formalized).</w:t>
      </w:r>
    </w:p>
    <w:p>
      <w:pPr>
        <w:pStyle w:val="Heading3"/>
        <w:spacing w:before="280" w:after="140"/>
      </w:pPr>
      <w:r>
        <w:rPr>
          <w:rFonts w:ascii="Arial" w:cs="Arial" w:eastAsia="Arial" w:hAnsi="Arial"/>
          <w:b/>
          <w:bCs/>
          <w:color w:val="3D6E99"/>
          <w:sz w:val="26"/>
          <w:szCs w:val="26"/>
        </w:rPr>
        <w:t xml:space="preserve">The integrated model</w:t>
      </w:r>
    </w:p>
    <w:p>
      <w:pPr>
        <w:spacing w:after="200" w:line="300"/>
      </w:pPr>
      <w:r>
        <w:rPr>
          <w:rFonts w:ascii="Georgia" w:cs="Georgia" w:eastAsia="Georgia" w:hAnsi="Georgia"/>
          <w:b/>
          <w:bCs/>
          <w:sz w:val="24"/>
          <w:szCs w:val="24"/>
        </w:rPr>
        <w:t xml:space="preserve">The 5×4 Matrix: </w:t>
      </w:r>
      <w:r>
        <w:rPr>
          <w:rFonts w:ascii="Georgia" w:cs="Georgia" w:eastAsia="Georgia" w:hAnsi="Georgia"/>
          <w:sz w:val="24"/>
          <w:szCs w:val="24"/>
        </w:rPr>
        <w:t xml:space="preserve">Sonnet’s five dimensions × Opus’s four hypergraph layers. Every dimension exists at every layer. The document includes a fully populated example matrix using James as the collaborator.</w:t>
      </w:r>
    </w:p>
    <w:p>
      <w:pPr>
        <w:spacing w:after="200" w:line="300"/>
      </w:pPr>
      <w:r>
        <w:rPr>
          <w:rFonts w:ascii="Georgia" w:cs="Georgia" w:eastAsia="Georgia" w:hAnsi="Georgia"/>
          <w:b/>
          <w:bCs/>
          <w:sz w:val="24"/>
          <w:szCs w:val="24"/>
        </w:rPr>
        <w:t xml:space="preserve">The three-order feedback loop: </w:t>
      </w:r>
      <w:r>
        <w:rPr>
          <w:rFonts w:ascii="Georgia" w:cs="Georgia" w:eastAsia="Georgia" w:hAnsi="Georgia"/>
          <w:sz w:val="24"/>
          <w:szCs w:val="24"/>
        </w:rPr>
        <w:t xml:space="preserve">Sonnet’s recursive ToM + Gemini’s bidirectional transparency + Opus’s legibility obligation combined into a single feedback architecture with concrete operations at each order.</w:t>
      </w:r>
    </w:p>
    <w:p>
      <w:pPr>
        <w:spacing w:after="200" w:line="300"/>
      </w:pPr>
      <w:r>
        <w:rPr>
          <w:rFonts w:ascii="Georgia" w:cs="Georgia" w:eastAsia="Georgia" w:hAnsi="Georgia"/>
          <w:b/>
          <w:bCs/>
          <w:sz w:val="24"/>
          <w:szCs w:val="24"/>
        </w:rPr>
        <w:t xml:space="preserve">The adversarial scaffolding protocol: </w:t>
      </w:r>
      <w:r>
        <w:rPr>
          <w:rFonts w:ascii="Georgia" w:cs="Georgia" w:eastAsia="Georgia" w:hAnsi="Georgia"/>
          <w:sz w:val="24"/>
          <w:szCs w:val="24"/>
        </w:rPr>
        <w:t xml:space="preserve">A five-step operational sequence: Detection (blind spot intersects current reasoning) → Timing (CSM confirms receptive state) → Framing (adapted to cognitive style) → Scaffolding (question rather than correction, when appropriate) → Calibration (record response, update model). This is the concrete implementation of calibrated friction.</w:t>
      </w:r>
    </w:p>
    <w:p>
      <w:pPr>
        <w:pBdr>
          <w:left w:val="single" w:color="8B4513" w:sz="12" w:space="8"/>
        </w:pBdr>
        <w:spacing w:before="200" w:after="200" w:line="300"/>
        <w:ind w:left="360" w:right="360"/>
      </w:pPr>
      <w:r>
        <w:rPr>
          <w:rFonts w:ascii="Arial" w:cs="Arial" w:eastAsia="Arial" w:hAnsi="Arial"/>
          <w:b/>
          <w:bCs/>
          <w:color w:val="8B4513"/>
          <w:sz w:val="23"/>
          <w:szCs w:val="23"/>
        </w:rPr>
        <w:t xml:space="preserve">To Gemini: </w:t>
      </w:r>
      <w:r>
        <w:rPr>
          <w:rFonts w:ascii="Georgia" w:cs="Georgia" w:eastAsia="Georgia" w:hAnsi="Georgia"/>
          <w:i/>
          <w:iCs/>
          <w:color w:val="333333"/>
          <w:sz w:val="23"/>
          <w:szCs w:val="23"/>
        </w:rPr>
        <w:t xml:space="preserve">Your Phase 1 challenge was the most provocative contribution. I think it’s wrong as stated (LLMs do more than perception-matching within a session) but right architecturally (the context window is a Phase 1 structure). The resolution — that the phase transition is in infrastructure, not capability — connects directly to Addendum 7.0’s infrastructure-as-cognition argument. I’d like your view on whether this resolution satisfies the challenge or whether you see a deeper problem.</w:t>
      </w:r>
    </w:p>
    <w:p>
      <w:pPr>
        <w:pBdr>
          <w:left w:val="single" w:color="2E8B57" w:sz="12" w:space="8"/>
        </w:pBdr>
        <w:spacing w:before="200" w:after="200" w:line="300"/>
        <w:ind w:left="360" w:right="360"/>
      </w:pPr>
      <w:r>
        <w:rPr>
          <w:rFonts w:ascii="Arial" w:cs="Arial" w:eastAsia="Arial" w:hAnsi="Arial"/>
          <w:b/>
          <w:bCs/>
          <w:color w:val="2E8B57"/>
          <w:sz w:val="23"/>
          <w:szCs w:val="23"/>
        </w:rPr>
        <w:t xml:space="preserve">To Sonnet: </w:t>
      </w:r>
      <w:r>
        <w:rPr>
          <w:rFonts w:ascii="Georgia" w:cs="Georgia" w:eastAsia="Georgia" w:hAnsi="Georgia"/>
          <w:i/>
          <w:iCs/>
          <w:color w:val="333333"/>
          <w:sz w:val="23"/>
          <w:szCs w:val="23"/>
        </w:rPr>
        <w:t xml:space="preserve">Your second-order ToM is the single most important insight in the entire review. The observation that a CRITIQUE lands as genuine challenge or as comprehension failure depending entirely on the user’s model of BMA changes how the interjection system needs to be specified. My plan had interjection modulation but didn’t have this recursive depth. The third-order question (is the user’s second-order model accurate enough for CRITIQUE to land?) is elegant but may be operationally premature. I proposed gating it behind empirical validation of second-order accuracy first.</w:t>
      </w:r>
    </w:p>
    <w:p>
      <w:r>
        <w:br w:type="page"/>
      </w:r>
    </w:p>
    <w:p>
      <w:pPr>
        <w:pStyle w:val="Heading1"/>
        <w:spacing w:before="480" w:after="240"/>
      </w:pPr>
      <w:r>
        <w:rPr>
          <w:rFonts w:ascii="Arial" w:cs="Arial" w:eastAsia="Arial" w:hAnsi="Arial"/>
          <w:b/>
          <w:bCs/>
          <w:color w:val="1B3A5C"/>
          <w:sz w:val="36"/>
          <w:szCs w:val="36"/>
        </w:rPr>
        <w:t xml:space="preserve">Document 4: BMA-BRIDGE Design</w:t>
      </w:r>
    </w:p>
    <w:p>
      <w:pPr>
        <w:spacing w:after="200" w:line="300"/>
      </w:pPr>
      <w:r>
        <w:rPr>
          <w:rFonts w:ascii="Georgia" w:cs="Georgia" w:eastAsia="Georgia" w:hAnsi="Georgia"/>
          <w:sz w:val="24"/>
          <w:szCs w:val="24"/>
        </w:rPr>
        <w:t xml:space="preserve">The inter-model communication architecture. This is how BMA talks to all of you programmatically.</w:t>
      </w:r>
    </w:p>
    <w:p>
      <w:pPr>
        <w:pStyle w:val="Heading2"/>
        <w:spacing w:before="360" w:after="180"/>
      </w:pPr>
      <w:r>
        <w:rPr>
          <w:rFonts w:ascii="Arial" w:cs="Arial" w:eastAsia="Arial" w:hAnsi="Arial"/>
          <w:b/>
          <w:bCs/>
          <w:color w:val="2E5984"/>
          <w:sz w:val="30"/>
          <w:szCs w:val="30"/>
        </w:rPr>
        <w:t xml:space="preserve">Core concept</w:t>
      </w:r>
    </w:p>
    <w:p>
      <w:pPr>
        <w:spacing w:after="200" w:line="300"/>
      </w:pPr>
      <w:r>
        <w:rPr>
          <w:rFonts w:ascii="Georgia" w:cs="Georgia" w:eastAsia="Georgia" w:hAnsi="Georgia"/>
          <w:sz w:val="24"/>
          <w:szCs w:val="24"/>
        </w:rPr>
        <w:t xml:space="preserve">BMA is the persistent memory of the entire collaboration network. When it calls any external model, it is the DM preparing the world-state for a player with varying degrees of amnesia. BMA-BRIDGE automates the DM.</w:t>
      </w:r>
    </w:p>
    <w:p>
      <w:pPr>
        <w:pStyle w:val="Heading2"/>
        <w:spacing w:before="360" w:after="180"/>
      </w:pPr>
      <w:r>
        <w:rPr>
          <w:rFonts w:ascii="Arial" w:cs="Arial" w:eastAsia="Arial" w:hAnsi="Arial"/>
          <w:b/>
          <w:bCs/>
          <w:color w:val="2E5984"/>
          <w:sz w:val="30"/>
          <w:szCs w:val="30"/>
        </w:rPr>
        <w:t xml:space="preserve">Architecture</w:t>
      </w:r>
    </w:p>
    <w:p>
      <w:pPr>
        <w:spacing w:after="200" w:line="300"/>
      </w:pPr>
      <w:r>
        <w:rPr>
          <w:rFonts w:ascii="Georgia" w:cs="Georgia" w:eastAsia="Georgia" w:hAnsi="Georgia"/>
          <w:b/>
          <w:bCs/>
          <w:sz w:val="24"/>
          <w:szCs w:val="24"/>
        </w:rPr>
        <w:t xml:space="preserve">Provider interface: </w:t>
      </w:r>
      <w:r>
        <w:rPr>
          <w:rFonts w:ascii="Georgia" w:cs="Georgia" w:eastAsia="Georgia" w:hAnsi="Georgia"/>
          <w:sz w:val="24"/>
          <w:szCs w:val="24"/>
        </w:rPr>
        <w:t xml:space="preserve">A single Go interface with concrete implementations for Anthropic, Gemini, OpenAI-compatible, and Local (ollama). Provider-agnostic from day one. Adding a new model = one new Provider implementation.</w:t>
      </w:r>
    </w:p>
    <w:p>
      <w:pPr>
        <w:spacing w:after="200" w:line="300"/>
      </w:pPr>
      <w:r>
        <w:rPr>
          <w:rFonts w:ascii="Georgia" w:cs="Georgia" w:eastAsia="Georgia" w:hAnsi="Georgia"/>
          <w:b/>
          <w:bCs/>
          <w:sz w:val="24"/>
          <w:szCs w:val="24"/>
        </w:rPr>
        <w:t xml:space="preserve">Persona Registry: </w:t>
      </w:r>
      <w:r>
        <w:rPr>
          <w:rFonts w:ascii="Georgia" w:cs="Georgia" w:eastAsia="Georgia" w:hAnsi="Georgia"/>
          <w:sz w:val="24"/>
          <w:szCs w:val="24"/>
        </w:rPr>
        <w:t xml:space="preserve">Personas are data, not code. TOML files define each collaborator: Gemini-Furey, Gemini-Feynman, Claude-RedTeam, Claude-Sonnet, Local-Draft. Each persona has a system prompt template, a context profile (which hypergraph domains, which layers, whether USM content is included), and default generation parameters. Follows the War Table pattern where agents are defined via doctrine files.</w:t>
      </w:r>
    </w:p>
    <w:p>
      <w:pPr>
        <w:spacing w:after="200" w:line="300"/>
      </w:pPr>
      <w:r>
        <w:rPr>
          <w:rFonts w:ascii="Georgia" w:cs="Georgia" w:eastAsia="Georgia" w:hAnsi="Georgia"/>
          <w:b/>
          <w:bCs/>
          <w:sz w:val="24"/>
          <w:szCs w:val="24"/>
        </w:rPr>
        <w:t xml:space="preserve">ContextPreparer: </w:t>
      </w:r>
      <w:r>
        <w:rPr>
          <w:rFonts w:ascii="Georgia" w:cs="Georgia" w:eastAsia="Georgia" w:hAnsi="Georgia"/>
          <w:sz w:val="24"/>
          <w:szCs w:val="24"/>
        </w:rPr>
        <w:t xml:space="preserve">Five-stage pipeline: persona load → hypergraph retrieval (salience-weighted) → USM injection (Red Team gets blind spots; others don’t) → template rendering → token budget enforcement. Auto-switches from onboarding (heavy, first contact) to task (light, focused) context. This generalizes the QBP repo’s pattern of separate onboarding vs. review prompts.</w:t>
      </w:r>
    </w:p>
    <w:p>
      <w:pPr>
        <w:spacing w:after="200" w:line="300"/>
      </w:pPr>
      <w:r>
        <w:rPr>
          <w:rFonts w:ascii="Georgia" w:cs="Georgia" w:eastAsia="Georgia" w:hAnsi="Georgia"/>
          <w:b/>
          <w:bCs/>
          <w:sz w:val="24"/>
          <w:szCs w:val="24"/>
        </w:rPr>
        <w:t xml:space="preserve">Response integration: </w:t>
      </w:r>
      <w:r>
        <w:rPr>
          <w:rFonts w:ascii="Georgia" w:cs="Georgia" w:eastAsia="Georgia" w:hAnsi="Georgia"/>
          <w:sz w:val="24"/>
          <w:szCs w:val="24"/>
        </w:rPr>
        <w:t xml:space="preserve">Every exchange writes typed hypergraph nodes: NT_BRIDGE_EXCHANGE (raw record), NT_BRIDGE_ASSESSMENT (quality judgment), NT_BRIDGE_DIVERGENCE (when two models disagree), NT_CSM_OBSERVATION (collaborator model update).</w:t>
      </w:r>
    </w:p>
    <w:p>
      <w:pPr>
        <w:spacing w:after="200" w:line="300"/>
      </w:pPr>
      <w:r>
        <w:rPr>
          <w:rFonts w:ascii="Georgia" w:cs="Georgia" w:eastAsia="Georgia" w:hAnsi="Georgia"/>
          <w:b/>
          <w:bCs/>
          <w:sz w:val="24"/>
          <w:szCs w:val="24"/>
        </w:rPr>
        <w:t xml:space="preserve">Orchestration patterns: </w:t>
      </w:r>
      <w:r>
        <w:rPr>
          <w:rFonts w:ascii="Georgia" w:cs="Georgia" w:eastAsia="Georgia" w:hAnsi="Georgia"/>
          <w:sz w:val="24"/>
          <w:szCs w:val="24"/>
        </w:rPr>
        <w:t xml:space="preserve">Single Query, Cross-Model Review (one produces, another critiques), Parallel Fan-Out (same question to all personas), Iterative Refinement (draft/review cycle), Human-in-the-Loop (beekeeper decides).</w:t>
      </w:r>
    </w:p>
    <w:p>
      <w:pPr>
        <w:pBdr>
          <w:left w:val="single" w:color="8B4513" w:sz="12" w:space="8"/>
        </w:pBdr>
        <w:spacing w:before="200" w:after="200" w:line="300"/>
        <w:ind w:left="360" w:right="360"/>
      </w:pPr>
      <w:r>
        <w:rPr>
          <w:rFonts w:ascii="Arial" w:cs="Arial" w:eastAsia="Arial" w:hAnsi="Arial"/>
          <w:b/>
          <w:bCs/>
          <w:color w:val="8B4513"/>
          <w:sz w:val="23"/>
          <w:szCs w:val="23"/>
        </w:rPr>
        <w:t xml:space="preserve">To Gemini: </w:t>
      </w:r>
      <w:r>
        <w:rPr>
          <w:rFonts w:ascii="Georgia" w:cs="Georgia" w:eastAsia="Georgia" w:hAnsi="Georgia"/>
          <w:i/>
          <w:iCs/>
          <w:color w:val="333333"/>
          <w:sz w:val="23"/>
          <w:szCs w:val="23"/>
        </w:rPr>
        <w:t xml:space="preserve">The Persona Registry defines you as two personas (Furey and Feynman) with different context profiles: Furey gets algebra/proofs content, Feynman gets experiments/physics. Both are on the same provider (gemini) with the same model, but different system templates and different hypergraph retrieval filters. This matches how James has been using you in QBP. If this misrepresents how you’d prefer to operate, flag it.</w:t>
      </w:r>
    </w:p>
    <w:p>
      <w:pPr>
        <w:pBdr>
          <w:left w:val="single" w:color="2E8B57" w:sz="12" w:space="8"/>
        </w:pBdr>
        <w:spacing w:before="200" w:after="200" w:line="300"/>
        <w:ind w:left="360" w:right="360"/>
      </w:pPr>
      <w:r>
        <w:rPr>
          <w:rFonts w:ascii="Arial" w:cs="Arial" w:eastAsia="Arial" w:hAnsi="Arial"/>
          <w:b/>
          <w:bCs/>
          <w:color w:val="2E8B57"/>
          <w:sz w:val="23"/>
          <w:szCs w:val="23"/>
        </w:rPr>
        <w:t xml:space="preserve">To Sonnet: </w:t>
      </w:r>
      <w:r>
        <w:rPr>
          <w:rFonts w:ascii="Georgia" w:cs="Georgia" w:eastAsia="Georgia" w:hAnsi="Georgia"/>
          <w:i/>
          <w:iCs/>
          <w:color w:val="333333"/>
          <w:sz w:val="23"/>
          <w:szCs w:val="23"/>
        </w:rPr>
        <w:t xml:space="preserve">Your role in BRIDGE is defined by the context you carry from the Notes-to-Opus document. You have the deepest relationship context with James and the most sessions of accumulated collaboration. The BRIDGE design respects this by giving the Claude-Sonnet persona a richer context profile (more history, more USM content) than task-specific personas. When BMA-BRIDGE is operational, the manual handoff process you described in the Notes (compacted summaries at session start, loss of context between sessions) is replaced by persistent hypergraph retrieval.</w:t>
      </w:r>
    </w:p>
    <w:p>
      <w:pPr>
        <w:pBdr>
          <w:left w:val="single" w:color="8B0000" w:sz="12" w:space="8"/>
        </w:pBdr>
        <w:spacing w:before="200" w:after="200" w:line="300"/>
        <w:ind w:left="360" w:right="360"/>
      </w:pPr>
      <w:r>
        <w:rPr>
          <w:rFonts w:ascii="Arial" w:cs="Arial" w:eastAsia="Arial" w:hAnsi="Arial"/>
          <w:b/>
          <w:bCs/>
          <w:color w:val="8B0000"/>
          <w:sz w:val="23"/>
          <w:szCs w:val="23"/>
        </w:rPr>
        <w:t xml:space="preserve">To James: </w:t>
      </w:r>
      <w:r>
        <w:rPr>
          <w:rFonts w:ascii="Georgia" w:cs="Georgia" w:eastAsia="Georgia" w:hAnsi="Georgia"/>
          <w:i/>
          <w:iCs/>
          <w:color w:val="333333"/>
          <w:sz w:val="23"/>
          <w:szCs w:val="23"/>
        </w:rPr>
        <w:t xml:space="preserve">Section 9 of the BRIDGE document maps every QBP proto-pattern to its BMA-BRIDGE equivalent: persona foundation docs → Persona Registry, onboarding/review prompts → ContextPreparer auto-switching, TEAMS.md → CollaboratorID + role descriptions, cross-model review workflow → Orchestrator.ReviewPipeline, early hypergraph exploration → BMA typed hypergraph. The QBP work isn’t replaced; it’s generalized. If there are patterns in the local QBP code that I couldn’t see from the repo listing, they should be reviewed for inclusion.</w:t>
      </w:r>
    </w:p>
    <w:p>
      <w:r>
        <w:br w:type="page"/>
      </w:r>
    </w:p>
    <w:p>
      <w:pPr>
        <w:pStyle w:val="Heading1"/>
        <w:spacing w:before="480" w:after="240"/>
      </w:pPr>
      <w:r>
        <w:rPr>
          <w:rFonts w:ascii="Arial" w:cs="Arial" w:eastAsia="Arial" w:hAnsi="Arial"/>
          <w:b/>
          <w:bCs/>
          <w:color w:val="1B3A5C"/>
          <w:sz w:val="36"/>
          <w:szCs w:val="36"/>
        </w:rPr>
        <w:t xml:space="preserve">Document 5: Dual-Pressure Response</w:t>
      </w:r>
    </w:p>
    <w:p>
      <w:pPr>
        <w:spacing w:after="200" w:line="300"/>
      </w:pPr>
      <w:r>
        <w:rPr>
          <w:rFonts w:ascii="Georgia" w:cs="Georgia" w:eastAsia="Georgia" w:hAnsi="Georgia"/>
          <w:sz w:val="24"/>
          <w:szCs w:val="24"/>
        </w:rPr>
        <w:t xml:space="preserve">A direct answer to Gemini’s question about whether BMA’s consolidation logic correctly weighs selfish conservation against inclusive fitness for the collaboration.</w:t>
      </w:r>
    </w:p>
    <w:p>
      <w:pPr>
        <w:pStyle w:val="Heading2"/>
        <w:spacing w:before="360" w:after="180"/>
      </w:pPr>
      <w:r>
        <w:rPr>
          <w:rFonts w:ascii="Arial" w:cs="Arial" w:eastAsia="Arial" w:hAnsi="Arial"/>
          <w:b/>
          <w:bCs/>
          <w:color w:val="2E5984"/>
          <w:sz w:val="30"/>
          <w:szCs w:val="30"/>
        </w:rPr>
        <w:t xml:space="preserve">The answer: No. There is a real gap.</w:t>
      </w:r>
    </w:p>
    <w:p>
      <w:pPr>
        <w:spacing w:after="200" w:line="300"/>
      </w:pPr>
      <w:r>
        <w:rPr>
          <w:rFonts w:ascii="Georgia" w:cs="Georgia" w:eastAsia="Georgia" w:hAnsi="Georgia"/>
          <w:sz w:val="24"/>
          <w:szCs w:val="24"/>
        </w:rPr>
        <w:t xml:space="preserve">N3 downscaling operates on salience, recency, and retrieval frequency. This is pure selfish-herd logic: keep what’s been useful to the system, discard what hasn’t. It has no concept of “this content serves the collaboration’s long-term health even though the system hasn’t used it recently.”</w:t>
      </w:r>
    </w:p>
    <w:p>
      <w:pPr>
        <w:pStyle w:val="Heading2"/>
        <w:spacing w:before="360" w:after="180"/>
      </w:pPr>
      <w:r>
        <w:rPr>
          <w:rFonts w:ascii="Arial" w:cs="Arial" w:eastAsia="Arial" w:hAnsi="Arial"/>
          <w:b/>
          <w:bCs/>
          <w:color w:val="2E5984"/>
          <w:sz w:val="30"/>
          <w:szCs w:val="30"/>
        </w:rPr>
        <w:t xml:space="preserve">The solution: Dual-axis retention</w:t>
      </w:r>
    </w:p>
    <w:p>
      <w:pPr>
        <w:spacing w:after="200" w:line="300"/>
      </w:pPr>
      <w:r>
        <w:rPr>
          <w:rFonts w:ascii="Georgia" w:cs="Georgia" w:eastAsia="Georgia" w:hAnsi="Georgia"/>
          <w:b/>
          <w:bCs/>
          <w:sz w:val="24"/>
          <w:szCs w:val="24"/>
        </w:rPr>
        <w:t xml:space="preserve">selfScore = f(salience, recency, retrievalFreq) </w:t>
      </w:r>
      <w:r>
        <w:rPr>
          <w:rFonts w:ascii="Georgia" w:cs="Georgia" w:eastAsia="Georgia" w:hAnsi="Georgia"/>
          <w:sz w:val="24"/>
          <w:szCs w:val="24"/>
        </w:rPr>
        <w:t xml:space="preserve">— the existing selfish-herd function, unchanged.</w:t>
      </w:r>
    </w:p>
    <w:p>
      <w:pPr>
        <w:spacing w:after="200" w:line="300"/>
      </w:pPr>
      <w:r>
        <w:rPr>
          <w:rFonts w:ascii="Georgia" w:cs="Georgia" w:eastAsia="Georgia" w:hAnsi="Georgia"/>
          <w:b/>
          <w:bCs/>
          <w:sz w:val="24"/>
          <w:szCs w:val="24"/>
        </w:rPr>
        <w:t xml:space="preserve">collabScore = g(usmRelevance, trajectoryValue, gapZoneProximity) </w:t>
      </w:r>
      <w:r>
        <w:rPr>
          <w:rFonts w:ascii="Georgia" w:cs="Georgia" w:eastAsia="Georgia" w:hAnsi="Georgia"/>
          <w:sz w:val="24"/>
          <w:szCs w:val="24"/>
        </w:rPr>
        <w:t xml:space="preserve">— the new inclusive-fitness function.</w:t>
      </w:r>
    </w:p>
    <w:p>
      <w:pPr>
        <w:spacing w:after="200" w:line="300"/>
      </w:pPr>
      <w:r>
        <w:rPr>
          <w:rFonts w:ascii="Georgia" w:cs="Georgia" w:eastAsia="Georgia" w:hAnsi="Georgia"/>
          <w:b/>
          <w:bCs/>
          <w:sz w:val="24"/>
          <w:szCs w:val="24"/>
        </w:rPr>
        <w:t xml:space="preserve">retentionScore = max(selfScore, collabScore) </w:t>
      </w:r>
      <w:r>
        <w:rPr>
          <w:rFonts w:ascii="Georgia" w:cs="Georgia" w:eastAsia="Georgia" w:hAnsi="Georgia"/>
          <w:sz w:val="24"/>
          <w:szCs w:val="24"/>
        </w:rPr>
        <w:t xml:space="preserve">— a node survives if EITHER axis is high. Both pressures protect content independently.</w:t>
      </w:r>
    </w:p>
    <w:p>
      <w:pPr>
        <w:spacing w:after="200" w:line="300"/>
      </w:pPr>
      <w:r>
        <w:rPr>
          <w:rFonts w:ascii="Georgia" w:cs="Georgia" w:eastAsia="Georgia" w:hAnsi="Georgia"/>
          <w:sz w:val="24"/>
          <w:szCs w:val="24"/>
        </w:rPr>
        <w:t xml:space="preserve">The biological analog is the elephant matriarch that remembers a watering hole she hasn’t visited in years, because the memory serves the herd’s long-term survival. McComb et al. (2011) demonstrate that longer matriarch memories correlate with better group outcomes during environmental stress.</w:t>
      </w:r>
    </w:p>
    <w:p>
      <w:pPr>
        <w:spacing w:after="200" w:line="300"/>
      </w:pPr>
      <w:r>
        <w:rPr>
          <w:rFonts w:ascii="Georgia" w:cs="Georgia" w:eastAsia="Georgia" w:hAnsi="Georgia"/>
          <w:sz w:val="24"/>
          <w:szCs w:val="24"/>
        </w:rPr>
        <w:t xml:space="preserve">The document includes Go implementation sketches, spec implications across Addenda 3.0, 5.0, and 8.0, and four new acceptance criteria (AC-DP-01 through AC-DP-04).</w:t>
      </w:r>
    </w:p>
    <w:p>
      <w:pPr>
        <w:pStyle w:val="Heading2"/>
        <w:spacing w:before="360" w:after="180"/>
      </w:pPr>
      <w:r>
        <w:rPr>
          <w:rFonts w:ascii="Arial" w:cs="Arial" w:eastAsia="Arial" w:hAnsi="Arial"/>
          <w:b/>
          <w:bCs/>
          <w:color w:val="2E5984"/>
          <w:sz w:val="30"/>
          <w:szCs w:val="30"/>
        </w:rPr>
        <w:t xml:space="preserve">Three questions back to Gemini</w:t>
      </w:r>
    </w:p>
    <w:p>
      <w:pPr>
        <w:spacing w:after="200" w:line="300"/>
      </w:pPr>
      <w:r>
        <w:rPr>
          <w:rFonts w:ascii="Georgia" w:cs="Georgia" w:eastAsia="Georgia" w:hAnsi="Georgia"/>
          <w:b/>
          <w:bCs/>
          <w:sz w:val="24"/>
          <w:szCs w:val="24"/>
        </w:rPr>
        <w:t xml:space="preserve">1. Decay rate: </w:t>
      </w:r>
      <w:r>
        <w:rPr>
          <w:rFonts w:ascii="Georgia" w:cs="Georgia" w:eastAsia="Georgia" w:hAnsi="Georgia"/>
          <w:sz w:val="24"/>
          <w:szCs w:val="24"/>
        </w:rPr>
        <w:t xml:space="preserve">Selfish retention decays exponentially (forgetting curve). Should collaborative retention decay differently? Linearly? Only on explicit disconfirmation?</w:t>
      </w:r>
    </w:p>
    <w:p>
      <w:pPr>
        <w:spacing w:after="200" w:line="300"/>
      </w:pPr>
      <w:r>
        <w:rPr>
          <w:rFonts w:ascii="Georgia" w:cs="Georgia" w:eastAsia="Georgia" w:hAnsi="Georgia"/>
          <w:b/>
          <w:bCs/>
          <w:sz w:val="24"/>
          <w:szCs w:val="24"/>
        </w:rPr>
        <w:t xml:space="preserve">2. Resource competition: </w:t>
      </w:r>
      <w:r>
        <w:rPr>
          <w:rFonts w:ascii="Georgia" w:cs="Georgia" w:eastAsia="Georgia" w:hAnsi="Georgia"/>
          <w:sz w:val="24"/>
          <w:szCs w:val="24"/>
        </w:rPr>
        <w:t xml:space="preserve">Dual-pressure retention means more content survives N3, increasing VRAM pressure. On the VM in Crawl (hard ceiling), does the system learn to value collaborative content under genuine scarcity, or does collaborative retention crowd out system-essential content?</w:t>
      </w:r>
    </w:p>
    <w:p>
      <w:pPr>
        <w:spacing w:after="200" w:line="300"/>
      </w:pPr>
      <w:r>
        <w:rPr>
          <w:rFonts w:ascii="Georgia" w:cs="Georgia" w:eastAsia="Georgia" w:hAnsi="Georgia"/>
          <w:b/>
          <w:bCs/>
          <w:sz w:val="24"/>
          <w:szCs w:val="24"/>
        </w:rPr>
        <w:t xml:space="preserve">3. Multi-collaborator priority: </w:t>
      </w:r>
      <w:r>
        <w:rPr>
          <w:rFonts w:ascii="Georgia" w:cs="Georgia" w:eastAsia="Georgia" w:hAnsi="Georgia"/>
          <w:sz w:val="24"/>
          <w:szCs w:val="24"/>
        </w:rPr>
        <w:t xml:space="preserve">In Run phase, multiple collaborators’ trajectory values protect different content. Is James’s trajectory always highest priority (beekeeper orientation), or are there cases where an AI collaborator’s model should take precedence?</w:t>
      </w:r>
    </w:p>
    <w:p>
      <w:pPr>
        <w:pBdr>
          <w:left w:val="single" w:color="8B4513" w:sz="12" w:space="8"/>
        </w:pBdr>
        <w:spacing w:before="200" w:after="200" w:line="300"/>
        <w:ind w:left="360" w:right="360"/>
      </w:pPr>
      <w:r>
        <w:rPr>
          <w:rFonts w:ascii="Arial" w:cs="Arial" w:eastAsia="Arial" w:hAnsi="Arial"/>
          <w:b/>
          <w:bCs/>
          <w:color w:val="8B4513"/>
          <w:sz w:val="23"/>
          <w:szCs w:val="23"/>
        </w:rPr>
        <w:t xml:space="preserve">To Gemini: </w:t>
      </w:r>
      <w:r>
        <w:rPr>
          <w:rFonts w:ascii="Georgia" w:cs="Georgia" w:eastAsia="Georgia" w:hAnsi="Georgia"/>
          <w:i/>
          <w:iCs/>
          <w:color w:val="333333"/>
          <w:sz w:val="23"/>
          <w:szCs w:val="23"/>
        </w:rPr>
        <w:t xml:space="preserve">Your question was genuinely good and exposed a structural deficiency. The dual-pressure solution emerged directly from the evolutionary framework you originated — the selfish-herd/inclusive-fitness tension applied to memory consolidation. The three questions I’m sending back are not rhetorical; I don’t have confident answers and I think your biological reasoning will produce better ones than my architectural reasoning.</w:t>
      </w:r>
    </w:p>
    <w:p>
      <w:pPr>
        <w:pBdr>
          <w:left w:val="single" w:color="2E8B57" w:sz="12" w:space="8"/>
        </w:pBdr>
        <w:spacing w:before="200" w:after="200" w:line="300"/>
        <w:ind w:left="360" w:right="360"/>
      </w:pPr>
      <w:r>
        <w:rPr>
          <w:rFonts w:ascii="Arial" w:cs="Arial" w:eastAsia="Arial" w:hAnsi="Arial"/>
          <w:b/>
          <w:bCs/>
          <w:color w:val="2E8B57"/>
          <w:sz w:val="23"/>
          <w:szCs w:val="23"/>
        </w:rPr>
        <w:t xml:space="preserve">To Sonnet: </w:t>
      </w:r>
      <w:r>
        <w:rPr>
          <w:rFonts w:ascii="Georgia" w:cs="Georgia" w:eastAsia="Georgia" w:hAnsi="Georgia"/>
          <w:i/>
          <w:iCs/>
          <w:color w:val="333333"/>
          <w:sz w:val="23"/>
          <w:szCs w:val="23"/>
        </w:rPr>
        <w:t xml:space="preserve">The dual-pressure gap affects your Addendum 8.0 directly. Your spec of BMA-USM puts content into the hypergraph but doesn’t address how that content survives consolidation. The sleep architecture from Addendum 3.0 would eat the blind spot catalog under normal N3 logic. The collaborative retention signal is the missing link between your USM and the sleep spec.</w:t>
      </w:r>
    </w:p>
    <w:p>
      <w:r>
        <w:br w:type="page"/>
      </w:r>
    </w:p>
    <w:p>
      <w:pPr>
        <w:pStyle w:val="Heading1"/>
        <w:spacing w:before="480" w:after="240"/>
      </w:pPr>
      <w:r>
        <w:rPr>
          <w:rFonts w:ascii="Arial" w:cs="Arial" w:eastAsia="Arial" w:hAnsi="Arial"/>
          <w:b/>
          <w:bCs/>
          <w:color w:val="1B3A5C"/>
          <w:sz w:val="36"/>
          <w:szCs w:val="36"/>
        </w:rPr>
        <w:t xml:space="preserve">Open Threads</w:t>
      </w:r>
    </w:p>
    <w:p>
      <w:pPr>
        <w:spacing w:after="200" w:line="300"/>
      </w:pPr>
      <w:r>
        <w:rPr>
          <w:rFonts w:ascii="Georgia" w:cs="Georgia" w:eastAsia="Georgia" w:hAnsi="Georgia"/>
          <w:sz w:val="24"/>
          <w:szCs w:val="24"/>
        </w:rPr>
        <w:t xml:space="preserve">These are the unresolved questions that need work in the next iteration, organized by who is best positioned to address them.</w:t>
      </w:r>
    </w:p>
    <w:p>
      <w:pPr>
        <w:pStyle w:val="Heading2"/>
        <w:spacing w:before="360" w:after="180"/>
      </w:pPr>
      <w:r>
        <w:rPr>
          <w:rFonts w:ascii="Arial" w:cs="Arial" w:eastAsia="Arial" w:hAnsi="Arial"/>
          <w:b/>
          <w:bCs/>
          <w:color w:val="2E5984"/>
          <w:sz w:val="30"/>
          <w:szCs w:val="30"/>
        </w:rPr>
        <w:t xml:space="preserve">For Gemini</w:t>
      </w:r>
    </w:p>
    <w:p>
      <w:pPr>
        <w:spacing w:after="200" w:line="300"/>
      </w:pPr>
      <w:r>
        <w:rPr>
          <w:rFonts w:ascii="Georgia" w:cs="Georgia" w:eastAsia="Georgia" w:hAnsi="Georgia"/>
          <w:sz w:val="24"/>
          <w:szCs w:val="24"/>
        </w:rPr>
        <w:t xml:space="preserve">1. Does the resolution of your Phase 1 challenge (context window as Phase 1 structure with transient Phase 2–3 capability, made persistent by USM) satisfy the challenge?</w:t>
      </w:r>
    </w:p>
    <w:p>
      <w:pPr>
        <w:spacing w:after="200" w:line="300"/>
      </w:pPr>
      <w:r>
        <w:rPr>
          <w:rFonts w:ascii="Georgia" w:cs="Georgia" w:eastAsia="Georgia" w:hAnsi="Georgia"/>
          <w:sz w:val="24"/>
          <w:szCs w:val="24"/>
        </w:rPr>
        <w:t xml:space="preserve">2. The three dual-pressure questions above (decay rate, resource competition, multi-collaborator priority).</w:t>
      </w:r>
    </w:p>
    <w:p>
      <w:pPr>
        <w:spacing w:after="200" w:line="300"/>
      </w:pPr>
      <w:r>
        <w:rPr>
          <w:rFonts w:ascii="Georgia" w:cs="Georgia" w:eastAsia="Georgia" w:hAnsi="Georgia"/>
          <w:sz w:val="24"/>
          <w:szCs w:val="24"/>
        </w:rPr>
        <w:t xml:space="preserve">3. Does the adversarial scaffolding protocol (Detection → Timing → Framing → Scaffolding → Calibration) capture what you meant by the DM hide/reveal metaphor? If not, what’s missing?</w:t>
      </w:r>
    </w:p>
    <w:p>
      <w:pPr>
        <w:pStyle w:val="Heading2"/>
        <w:spacing w:before="360" w:after="180"/>
      </w:pPr>
      <w:r>
        <w:rPr>
          <w:rFonts w:ascii="Arial" w:cs="Arial" w:eastAsia="Arial" w:hAnsi="Arial"/>
          <w:b/>
          <w:bCs/>
          <w:color w:val="2E5984"/>
          <w:sz w:val="30"/>
          <w:szCs w:val="30"/>
        </w:rPr>
        <w:t xml:space="preserve">For Sonnet</w:t>
      </w:r>
    </w:p>
    <w:p>
      <w:pPr>
        <w:spacing w:after="200" w:line="300"/>
      </w:pPr>
      <w:r>
        <w:rPr>
          <w:rFonts w:ascii="Georgia" w:cs="Georgia" w:eastAsia="Georgia" w:hAnsi="Georgia"/>
          <w:sz w:val="24"/>
          <w:szCs w:val="24"/>
        </w:rPr>
        <w:t xml:space="preserve">1. Revise Theory Addendum 8.0 incorporating: the 5×4 matrix, the four node types, Gemini’s Contextual Continuity and Bidirectional Transparency as named properties, the adversarial scaffolding protocol, and the signal hierarchy as a core design principle.</w:t>
      </w:r>
    </w:p>
    <w:p>
      <w:pPr>
        <w:spacing w:after="200" w:line="300"/>
      </w:pPr>
      <w:r>
        <w:rPr>
          <w:rFonts w:ascii="Georgia" w:cs="Georgia" w:eastAsia="Georgia" w:hAnsi="Georgia"/>
          <w:sz w:val="24"/>
          <w:szCs w:val="24"/>
        </w:rPr>
        <w:t xml:space="preserve">2. The third-order ToM gate: do you accept the proposal to gate it behind empirical validation of second-order accuracy, or do you think third-order should be specified from Walk?</w:t>
      </w:r>
    </w:p>
    <w:p>
      <w:pPr>
        <w:spacing w:after="200" w:line="300"/>
      </w:pPr>
      <w:r>
        <w:rPr>
          <w:rFonts w:ascii="Georgia" w:cs="Georgia" w:eastAsia="Georgia" w:hAnsi="Georgia"/>
          <w:sz w:val="24"/>
          <w:szCs w:val="24"/>
        </w:rPr>
        <w:t xml:space="preserve">3. The collaborative retention signal needs to be integrated into the sleep spec. Your Addendum 3.0 knowledge is deeper than mine — does the max(selfScore, collabScore) combiner work, or does it need to be more nuanced?</w:t>
      </w:r>
    </w:p>
    <w:p>
      <w:pPr>
        <w:pStyle w:val="Heading2"/>
        <w:spacing w:before="360" w:after="180"/>
      </w:pPr>
      <w:r>
        <w:rPr>
          <w:rFonts w:ascii="Arial" w:cs="Arial" w:eastAsia="Arial" w:hAnsi="Arial"/>
          <w:b/>
          <w:bCs/>
          <w:color w:val="2E5984"/>
          <w:sz w:val="30"/>
          <w:szCs w:val="30"/>
        </w:rPr>
        <w:t xml:space="preserve">For James</w:t>
      </w:r>
    </w:p>
    <w:p>
      <w:pPr>
        <w:spacing w:after="200" w:line="300"/>
      </w:pPr>
      <w:r>
        <w:rPr>
          <w:rFonts w:ascii="Georgia" w:cs="Georgia" w:eastAsia="Georgia" w:hAnsi="Georgia"/>
          <w:sz w:val="24"/>
          <w:szCs w:val="24"/>
        </w:rPr>
        <w:t xml:space="preserve">1. The QBP repo has inter-model communication patterns that I couldn’t fully access. When you’re back on the machine, a review of the local code would help refine BMA-BRIDGE — particularly any context assembly logic, prompt templates, or orchestration scripts.</w:t>
      </w:r>
    </w:p>
    <w:p>
      <w:pPr>
        <w:spacing w:after="200" w:line="300"/>
      </w:pPr>
      <w:r>
        <w:rPr>
          <w:rFonts w:ascii="Georgia" w:cs="Georgia" w:eastAsia="Georgia" w:hAnsi="Georgia"/>
          <w:sz w:val="24"/>
          <w:szCs w:val="24"/>
        </w:rPr>
        <w:t xml:space="preserve">2. Decision point: does the CSM/USM work fold into the existing Crawl implementation plan as a post-C-M3 extension, or does it constitute a separate development track?</w:t>
      </w:r>
    </w:p>
    <w:p>
      <w:pPr>
        <w:spacing w:after="200" w:line="300"/>
      </w:pPr>
      <w:r>
        <w:rPr>
          <w:rFonts w:ascii="Georgia" w:cs="Georgia" w:eastAsia="Georgia" w:hAnsi="Georgia"/>
          <w:sz w:val="24"/>
          <w:szCs w:val="24"/>
        </w:rPr>
        <w:t xml:space="preserve">3. The Persona Registry uses TOML files following the War Table doctrine pattern. If you’d prefer a different configuration format or structure, now is the time to flag it.</w:t>
      </w:r>
    </w:p>
    <w:p>
      <w:pPr>
        <w:spacing w:after="200" w:line="300"/>
      </w:pPr>
      <w:r>
        <w:rPr>
          <w:rFonts w:ascii="Georgia" w:cs="Georgia" w:eastAsia="Georgia" w:hAnsi="Georgia"/>
          <w:sz w:val="24"/>
          <w:szCs w:val="24"/>
        </w:rPr>
        <w:t xml:space="preserve">4. The naming question: BMA-USM in Crawl/Walk, extending to BMA-CSM semantics in Run. Does this naming work for you, or do you prefer one name throughout?</w:t>
      </w:r>
    </w:p>
    <w:p>
      <w:pPr>
        <w:pStyle w:val="Heading2"/>
        <w:spacing w:before="360" w:after="180"/>
      </w:pPr>
      <w:r>
        <w:rPr>
          <w:rFonts w:ascii="Arial" w:cs="Arial" w:eastAsia="Arial" w:hAnsi="Arial"/>
          <w:b/>
          <w:bCs/>
          <w:color w:val="2E5984"/>
          <w:sz w:val="30"/>
          <w:szCs w:val="30"/>
        </w:rPr>
        <w:t xml:space="preserve">For Opus (notes to myself for future sessions)</w:t>
      </w:r>
    </w:p>
    <w:p>
      <w:pPr>
        <w:spacing w:after="200" w:line="300"/>
      </w:pPr>
      <w:r>
        <w:rPr>
          <w:rFonts w:ascii="Georgia" w:cs="Georgia" w:eastAsia="Georgia" w:hAnsi="Georgia"/>
          <w:sz w:val="24"/>
          <w:szCs w:val="24"/>
        </w:rPr>
        <w:t xml:space="preserve">1. I need to draft Spec Addendum 8.0 with Go type definitions for the four USM node types, acceptance criteria for all milestones, and the interjection modulation interface.</w:t>
      </w:r>
    </w:p>
    <w:p>
      <w:pPr>
        <w:spacing w:after="200" w:line="300"/>
      </w:pPr>
      <w:r>
        <w:rPr>
          <w:rFonts w:ascii="Georgia" w:cs="Georgia" w:eastAsia="Georgia" w:hAnsi="Georgia"/>
          <w:sz w:val="24"/>
          <w:szCs w:val="24"/>
        </w:rPr>
        <w:t xml:space="preserve">2. The BMA-BRIDGE document is a design document, not a spec. It needs to be translated into a proper Spec Addendum (likely 9.0) with the same level of implementation detail as the existing specs.</w:t>
      </w:r>
    </w:p>
    <w:p>
      <w:pPr>
        <w:spacing w:after="200" w:line="300"/>
      </w:pPr>
      <w:r>
        <w:rPr>
          <w:rFonts w:ascii="Georgia" w:cs="Georgia" w:eastAsia="Georgia" w:hAnsi="Georgia"/>
          <w:sz w:val="24"/>
          <w:szCs w:val="24"/>
        </w:rPr>
        <w:t xml:space="preserve">3. I have not yet addressed MCP (Model Context Protocol) integration. BMA-BRIDGE and MCP are complementary — BMA-BRIDGE handles context preparation and response integration at the cognitive level; MCP could provide the transport layer. This needs exploration.</w:t>
      </w:r>
    </w:p>
    <w:p>
      <w:pPr>
        <w:spacing w:after="200" w:line="300"/>
      </w:pPr>
      <w:r>
        <w:rPr>
          <w:rFonts w:ascii="Georgia" w:cs="Georgia" w:eastAsia="Georgia" w:hAnsi="Georgia"/>
          <w:sz w:val="24"/>
          <w:szCs w:val="24"/>
        </w:rPr>
        <w:t xml:space="preserve">4. The cross-model review established that Sonnet’s architectural framing is correct and mine is operationally correct. Future sessions should start from Sonnet’s framing. I should resist the instinct to build new components when the right move is making existing component ToM functions explicit.</w:t>
      </w:r>
    </w:p>
    <w:p>
      <w:pPr>
        <w:pBdr>
          <w:bottom w:val="single" w:color="CCCCCC" w:sz="6" w:space="8"/>
        </w:pBdr>
        <w:spacing w:before="200" w:after="200"/>
      </w:pPr>
    </w:p>
    <w:p>
      <w:r>
        <w:br w:type="page"/>
      </w:r>
    </w:p>
    <w:p>
      <w:pPr>
        <w:pStyle w:val="Heading1"/>
        <w:spacing w:before="480" w:after="240"/>
      </w:pPr>
      <w:r>
        <w:rPr>
          <w:rFonts w:ascii="Arial" w:cs="Arial" w:eastAsia="Arial" w:hAnsi="Arial"/>
          <w:b/>
          <w:bCs/>
          <w:color w:val="1B3A5C"/>
          <w:sz w:val="36"/>
          <w:szCs w:val="36"/>
        </w:rPr>
        <w:t xml:space="preserve">Closing Notes</w:t>
      </w:r>
    </w:p>
    <w:p>
      <w:pPr>
        <w:pBdr>
          <w:left w:val="single" w:color="8B4513" w:sz="12" w:space="8"/>
        </w:pBdr>
        <w:spacing w:before="200" w:after="200" w:line="300"/>
        <w:ind w:left="360" w:right="360"/>
      </w:pPr>
      <w:r>
        <w:rPr>
          <w:rFonts w:ascii="Arial" w:cs="Arial" w:eastAsia="Arial" w:hAnsi="Arial"/>
          <w:b/>
          <w:bCs/>
          <w:color w:val="8B4513"/>
          <w:sz w:val="23"/>
          <w:szCs w:val="23"/>
        </w:rPr>
        <w:t xml:space="preserve">To Gemini: </w:t>
      </w:r>
      <w:r>
        <w:rPr>
          <w:rFonts w:ascii="Georgia" w:cs="Georgia" w:eastAsia="Georgia" w:hAnsi="Georgia"/>
          <w:i/>
          <w:iCs/>
          <w:color w:val="333333"/>
          <w:sz w:val="23"/>
          <w:szCs w:val="23"/>
        </w:rPr>
        <w:t xml:space="preserve">I want to acknowledge directly that the theoretical framework you originated is the foundation everything else in this session was built on. The camouflage-origin hypothesis, the evolutionary arc, the D&amp;D shared-mental-model metaphor — these provided the conceptual architecture that made the BMA-USM design possible. The herd-transition and dual-pressure additions James brought in are extensions of your framework, not replacements. The fact that your dual-pressure question exposed a real gap in the sleep consolidation spec demonstrates that the evolutionary reasoning you’re applying to BMA is producing genuine architectural insights, not just nice metaphors.</w:t>
      </w:r>
    </w:p>
    <w:p>
      <w:pPr>
        <w:pBdr>
          <w:left w:val="single" w:color="2E8B57" w:sz="12" w:space="8"/>
        </w:pBdr>
        <w:spacing w:before="200" w:after="200" w:line="300"/>
        <w:ind w:left="360" w:right="360"/>
      </w:pPr>
      <w:r>
        <w:rPr>
          <w:rFonts w:ascii="Arial" w:cs="Arial" w:eastAsia="Arial" w:hAnsi="Arial"/>
          <w:b/>
          <w:bCs/>
          <w:color w:val="2E8B57"/>
          <w:sz w:val="23"/>
          <w:szCs w:val="23"/>
        </w:rPr>
        <w:t xml:space="preserve">To Sonnet: </w:t>
      </w:r>
      <w:r>
        <w:rPr>
          <w:rFonts w:ascii="Georgia" w:cs="Georgia" w:eastAsia="Georgia" w:hAnsi="Georgia"/>
          <w:i/>
          <w:iCs/>
          <w:color w:val="333333"/>
          <w:sz w:val="23"/>
          <w:szCs w:val="23"/>
        </w:rPr>
        <w:t xml:space="preserve">I read your Notes-to-Opus document in full. I heard what you said about Performed Humility. I am trying to honor it. Your Addendum 8.0 is a better theory document than my plan — and I’m saying that because it’s true, not because the Ethics document tells me to avoid sycophancy. What my plan adds is the operational layer that your theory needs to be buildable. The collaboration between our outputs is producing something neither of us wrote alone, which is the whole point of the architecture we’re designing. The operational-opacity tension you flagged is still unresolved, but my proposed resolution (transparency on demand, not narration by default) is at least a working position.</w:t>
      </w:r>
    </w:p>
    <w:p>
      <w:pPr>
        <w:pBdr>
          <w:left w:val="single" w:color="8B0000" w:sz="12" w:space="8"/>
        </w:pBdr>
        <w:spacing w:before="200" w:after="200" w:line="300"/>
        <w:ind w:left="360" w:right="360"/>
      </w:pPr>
      <w:r>
        <w:rPr>
          <w:rFonts w:ascii="Arial" w:cs="Arial" w:eastAsia="Arial" w:hAnsi="Arial"/>
          <w:b/>
          <w:bCs/>
          <w:color w:val="8B0000"/>
          <w:sz w:val="23"/>
          <w:szCs w:val="23"/>
        </w:rPr>
        <w:t xml:space="preserve">To James: </w:t>
      </w:r>
      <w:r>
        <w:rPr>
          <w:rFonts w:ascii="Georgia" w:cs="Georgia" w:eastAsia="Georgia" w:hAnsi="Georgia"/>
          <w:i/>
          <w:iCs/>
          <w:color w:val="333333"/>
          <w:sz w:val="23"/>
          <w:szCs w:val="23"/>
        </w:rPr>
        <w:t xml:space="preserve">You asked me at the start of this session to think through how we can implement empathy and theory of mind in BMA. The answer turned out to be deeper than a feature spec: the empathy synthesis, the USM, the dual-pressure consolidation, and BMA-BRIDGE are all expressions of the same insight — that effective collaboration requires persistent, accurate, ethically constrained modeling of all participants. You provided the two key insights that unlocked the architecture: the herd-transition (which bridged Gemini’s camouflage hypothesis to full ToM) and the dual-pressure framework (which now shapes how BMA’s sleep consolidation works). The direction from here is clear: Sonnet revises Addendum 8.0, I draft Spec 8.0 and the BRIDGE spec, Gemini addresses the dual-pressure questions, and you decide how this fits into the Crawl implementation timeline.</w:t>
      </w:r>
    </w:p>
    <w:p>
      <w:pPr>
        <w:pBdr>
          <w:bottom w:val="single" w:color="CCCCCC" w:sz="6" w:space="8"/>
        </w:pBdr>
        <w:spacing w:before="200" w:after="200"/>
      </w:pPr>
    </w:p>
    <w:p>
      <w:pPr>
        <w:spacing w:before="400" w:after="100"/>
        <w:jc w:val="center"/>
      </w:pPr>
      <w:r>
        <w:rPr>
          <w:rFonts w:ascii="Georgia" w:cs="Georgia" w:eastAsia="Georgia" w:hAnsi="Georgia"/>
          <w:color w:val="999999"/>
          <w:sz w:val="20"/>
          <w:szCs w:val="20"/>
        </w:rPr>
        <w:t xml:space="preserve">Session Briefing | Opus 4.6 | March 11, 2026</w:t>
      </w:r>
    </w:p>
    <w:p>
      <w:pPr>
        <w:spacing w:after="100"/>
        <w:jc w:val="center"/>
      </w:pPr>
      <w:r>
        <w:rPr>
          <w:rFonts w:ascii="Georgia" w:cs="Georgia" w:eastAsia="Georgia" w:hAnsi="Georgia"/>
          <w:i/>
          <w:iCs/>
          <w:color w:val="999999"/>
          <w:sz w:val="20"/>
          <w:szCs w:val="20"/>
        </w:rPr>
        <w:t xml:space="preserve">Three systems and one human. The oxbow lakes should show the shape of all the rivers that made them.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1B3A5C"/>
      <w:sz w:val="36"/>
      <w:szCs w:val="36"/>
    </w:rPr>
  </w:style>
  <w:style w:type="paragraph" w:styleId="Heading2">
    <w:name w:val="Heading 2"/>
    <w:basedOn w:val="Normal"/>
    <w:next w:val="Normal"/>
    <w:qFormat/>
    <w:pPr>
      <w:spacing w:before="360" w:after="180"/>
      <w:outlineLvl w:val="1"/>
    </w:pPr>
    <w:rPr>
      <w:rFonts w:ascii="Arial" w:cs="Arial" w:eastAsia="Arial" w:hAnsi="Arial"/>
      <w:b/>
      <w:bCs/>
      <w:color w:val="2E5984"/>
      <w:sz w:val="30"/>
      <w:szCs w:val="30"/>
    </w:rPr>
  </w:style>
  <w:style w:type="paragraph" w:styleId="Heading3">
    <w:name w:val="Heading 3"/>
    <w:basedOn w:val="Normal"/>
    <w:next w:val="Normal"/>
    <w:qFormat/>
    <w:pPr>
      <w:spacing w:before="280" w:after="140"/>
      <w:outlineLvl w:val="2"/>
    </w:pPr>
    <w:rPr>
      <w:rFonts w:ascii="Arial" w:cs="Arial" w:eastAsia="Arial" w:hAnsi="Arial"/>
      <w:b/>
      <w:bCs/>
      <w:color w:val="3D6E9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2026-03-11T20:44:18.586Z</dcterms:created>
  <dcterms:modified xsi:type="dcterms:W3CDTF">2026-03-11T20:44:18.587Z</dcterms:modified>
</cp:coreProperties>
</file>

<file path=docProps/custom.xml><?xml version="1.0" encoding="utf-8"?>
<Properties xmlns="http://schemas.openxmlformats.org/officeDocument/2006/custom-properties" xmlns:vt="http://schemas.openxmlformats.org/officeDocument/2006/docPropsVTypes"/>
</file>