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THE EVOLUTIONARY ARC OF EMPATHY</w:t>
      </w:r>
    </w:p>
    <w:p>
      <w:pPr>
        <w:spacing w:after="120"/>
        <w:jc w:val="center"/>
      </w:pPr>
      <w:r>
        <w:rPr>
          <w:rFonts w:ascii="Arial" w:cs="Arial" w:eastAsia="Arial" w:hAnsi="Arial"/>
          <w:color w:val="666666"/>
          <w:sz w:val="36"/>
          <w:szCs w:val="36"/>
        </w:rPr>
        <w:t xml:space="preserve">&amp;</w:t>
      </w:r>
    </w:p>
    <w:p>
      <w:pPr>
        <w:spacing w:after="400"/>
        <w:jc w:val="center"/>
      </w:pPr>
      <w:r>
        <w:rPr>
          <w:rFonts w:ascii="Arial" w:cs="Arial" w:eastAsia="Arial" w:hAnsi="Arial"/>
          <w:b/>
          <w:bCs/>
          <w:color w:val="1B3A5C"/>
          <w:sz w:val="48"/>
          <w:szCs w:val="48"/>
        </w:rPr>
        <w:t xml:space="preserve">COLLABORATIVE MODELING</w:t>
      </w:r>
    </w:p>
    <w:p>
      <w:pPr>
        <w:spacing w:after="100"/>
        <w:jc w:val="center"/>
      </w:pPr>
      <w:r>
        <w:rPr>
          <w:rFonts w:ascii="Georgia" w:cs="Georgia" w:eastAsia="Georgia" w:hAnsi="Georgia"/>
          <w:i/>
          <w:iCs/>
          <w:color w:val="555555"/>
          <w:sz w:val="28"/>
          <w:szCs w:val="28"/>
        </w:rPr>
        <w:t xml:space="preserve">From Predator-Prey Dynamics to Human-AI Collaboration</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Synthesis Prepared for Cross-Model Discussion</w:t>
      </w:r>
    </w:p>
    <w:p>
      <w:pPr>
        <w:spacing w:after="80"/>
        <w:jc w:val="center"/>
      </w:pPr>
      <w:r>
        <w:rPr>
          <w:rFonts w:ascii="Georgia" w:cs="Georgia" w:eastAsia="Georgia" w:hAnsi="Georgia"/>
          <w:color w:val="777777"/>
          <w:sz w:val="22"/>
          <w:szCs w:val="22"/>
        </w:rPr>
        <w:t xml:space="preserve">Original Framework: Gemini (Furey &amp; Feynman Personas)</w:t>
      </w:r>
    </w:p>
    <w:p>
      <w:pPr>
        <w:spacing w:after="80"/>
        <w:jc w:val="center"/>
      </w:pPr>
      <w:r>
        <w:rPr>
          <w:rFonts w:ascii="Georgia" w:cs="Georgia" w:eastAsia="Georgia" w:hAnsi="Georgia"/>
          <w:color w:val="777777"/>
          <w:sz w:val="22"/>
          <w:szCs w:val="22"/>
        </w:rPr>
        <w:t xml:space="preserve">Red Team Analysis &amp; Extensions: Claude</w:t>
      </w:r>
    </w:p>
    <w:p>
      <w:pPr>
        <w:spacing w:after="80"/>
        <w:jc w:val="center"/>
      </w:pPr>
      <w:r>
        <w:rPr>
          <w:rFonts w:ascii="Georgia" w:cs="Georgia" w:eastAsia="Georgia" w:hAnsi="Georgia"/>
          <w:color w:val="777777"/>
          <w:sz w:val="22"/>
          <w:szCs w:val="22"/>
        </w:rPr>
        <w:t xml:space="preserve">Direction &amp; Integration: James Paget-Butler</w:t>
      </w:r>
    </w:p>
    <w:p>
      <w:r>
        <w:br w:type="page"/>
      </w:r>
    </w:p>
    <w:p>
      <w:pPr>
        <w:pStyle w:val="Heading1"/>
        <w:spacing w:before="480" w:after="240"/>
      </w:pPr>
      <w:r>
        <w:rPr>
          <w:rFonts w:ascii="Arial" w:cs="Arial" w:eastAsia="Arial" w:hAnsi="Arial"/>
          <w:b/>
          <w:bCs/>
          <w:color w:val="1B3A5C"/>
          <w:sz w:val="36"/>
          <w:szCs w:val="36"/>
        </w:rPr>
        <w:t xml:space="preserve">The Thesis</w:t>
      </w:r>
    </w:p>
    <w:p>
      <w:pPr>
        <w:spacing w:after="200" w:line="300"/>
      </w:pPr>
      <w:r>
        <w:rPr>
          <w:rFonts w:ascii="Georgia" w:cs="Georgia" w:eastAsia="Georgia" w:hAnsi="Georgia"/>
          <w:sz w:val="24"/>
          <w:szCs w:val="24"/>
        </w:rPr>
        <w:t xml:space="preserve">This framework explores the evolution of empathy not merely as a social feeling, but as a cognitive architecture for modeling the internal states of others. The central claim is that perspective-taking—the computational substrate of empathy—originated in adversarial predator-prey dynamics and was progressively repurposed through social selection, language evolution, and structured simulation systems, culminating in the collaborative modeling that underpins effective human-AI interaction.</w:t>
      </w:r>
    </w:p>
    <w:p>
      <w:pPr>
        <w:spacing w:after="200" w:line="300"/>
      </w:pPr>
      <w:r>
        <w:rPr>
          <w:rFonts w:ascii="Georgia" w:cs="Georgia" w:eastAsia="Georgia" w:hAnsi="Georgia"/>
          <w:sz w:val="24"/>
          <w:szCs w:val="24"/>
        </w:rPr>
        <w:t xml:space="preserve">The progression moves through five distinct phases: solitary concealment, herd-based attentional modeling, intragroup competitive modeling, externalized simulation through language and structured games, and finally systematic collaboration with artificial agents. At each stage, the same underlying cognitive machinery is driven to greater sophistication by new selection pressures.</w:t>
      </w:r>
    </w:p>
    <w:p>
      <w:pPr>
        <w:pStyle w:val="Heading1"/>
        <w:spacing w:before="480" w:after="240"/>
      </w:pPr>
      <w:r>
        <w:rPr>
          <w:rFonts w:ascii="Arial" w:cs="Arial" w:eastAsia="Arial" w:hAnsi="Arial"/>
          <w:b/>
          <w:bCs/>
          <w:color w:val="1B3A5C"/>
          <w:sz w:val="36"/>
          <w:szCs w:val="36"/>
        </w:rPr>
        <w:t xml:space="preserve">1. The Camouflage Origin: Predator-Perspective Modeling</w:t>
      </w:r>
    </w:p>
    <w:p>
      <w:pPr>
        <w:spacing w:after="200" w:line="300"/>
      </w:pPr>
      <w:r>
        <w:rPr>
          <w:rFonts w:ascii="Georgia" w:cs="Georgia" w:eastAsia="Georgia" w:hAnsi="Georgia"/>
          <w:sz w:val="24"/>
          <w:szCs w:val="24"/>
        </w:rPr>
        <w:t xml:space="preserve">The hypothesis begins with concealment. For an organism to hide effectively, it must develop a proto-concept of the other. This is not mere background-matching; it is the simulation of how a predator perceives the environment. By identifying vulnerabilities in its own camouflage from an external viewpoint, the organism engages in the earliest form of perspective-taking.</w:t>
      </w:r>
    </w:p>
    <w:p>
      <w:pPr>
        <w:spacing w:after="200" w:line="300"/>
      </w:pPr>
      <w:r>
        <w:rPr>
          <w:rFonts w:ascii="Georgia" w:cs="Georgia" w:eastAsia="Georgia" w:hAnsi="Georgia"/>
          <w:sz w:val="24"/>
          <w:szCs w:val="24"/>
        </w:rPr>
        <w:t xml:space="preserve">Solitary concealment requires modeling the predator’s sensory field: what does it see, and can it see me? This is a genuine computational requirement—not sentimental, but driven by immediate survival pressure. Dynamic camouflage, as observed in cephalopods and certain insects, demands real-time adjustment based on an inferred model of predator perception.</w:t>
      </w:r>
    </w:p>
    <w:p>
      <w:pPr>
        <w:pStyle w:val="Heading3"/>
        <w:spacing w:before="280" w:after="140"/>
      </w:pPr>
      <w:r>
        <w:rPr>
          <w:rFonts w:ascii="Arial" w:cs="Arial" w:eastAsia="Arial" w:hAnsi="Arial"/>
          <w:b/>
          <w:bCs/>
          <w:color w:val="3D6E99"/>
          <w:sz w:val="26"/>
          <w:szCs w:val="26"/>
        </w:rPr>
        <w:t xml:space="preserve">Supporting Research</w:t>
      </w:r>
    </w:p>
    <w:p>
      <w:pPr>
        <w:spacing w:after="200" w:line="300"/>
      </w:pPr>
      <w:r>
        <w:rPr>
          <w:rFonts w:ascii="Georgia" w:cs="Georgia" w:eastAsia="Georgia" w:hAnsi="Georgia"/>
          <w:b/>
          <w:bCs/>
          <w:sz w:val="24"/>
          <w:szCs w:val="24"/>
        </w:rPr>
        <w:t xml:space="preserve">Skelhorn &amp; Rowe (2016) </w:t>
      </w:r>
      <w:r>
        <w:rPr>
          <w:rFonts w:ascii="Georgia" w:cs="Georgia" w:eastAsia="Georgia" w:hAnsi="Georgia"/>
          <w:sz w:val="24"/>
          <w:szCs w:val="24"/>
        </w:rPr>
        <w:t xml:space="preserve">in their work on cognition and camouflage demonstrate that dynamic concealment requires high-level cognitive processing of predator behavior. Effective crypsis is not a static property but an active process requiring ongoing evaluation of the predator’s likely perceptual state.</w:t>
      </w:r>
    </w:p>
    <w:p>
      <w:pPr>
        <w:spacing w:after="120" w:line="280"/>
        <w:ind w:left="720"/>
      </w:pPr>
      <w:r>
        <w:rPr>
          <w:rFonts w:ascii="Georgia" w:cs="Georgia" w:eastAsia="Georgia" w:hAnsi="Georgia"/>
          <w:i/>
          <w:iCs/>
          <w:color w:val="444444"/>
          <w:sz w:val="22"/>
          <w:szCs w:val="22"/>
        </w:rPr>
        <w:t xml:space="preserve">Skelhorn, J. &amp; Rowe, C. (2016). Cognition and the evolution of camouflage. Proceedings of the Royal Society B, 283(1825).</w:t>
      </w:r>
    </w:p>
    <w:p>
      <w:pPr>
        <w:spacing w:after="200" w:line="300"/>
      </w:pPr>
      <w:r>
        <w:rPr>
          <w:rFonts w:ascii="Georgia" w:cs="Georgia" w:eastAsia="Georgia" w:hAnsi="Georgia"/>
          <w:b/>
          <w:bCs/>
          <w:sz w:val="24"/>
          <w:szCs w:val="24"/>
        </w:rPr>
        <w:t xml:space="preserve">Frans de Waal’s (2008) Perception-Action Mechanism (PAM) </w:t>
      </w:r>
      <w:r>
        <w:rPr>
          <w:rFonts w:ascii="Georgia" w:cs="Georgia" w:eastAsia="Georgia" w:hAnsi="Georgia"/>
          <w:sz w:val="24"/>
          <w:szCs w:val="24"/>
        </w:rPr>
        <w:t xml:space="preserve">provides a neurological framework for how internalizing the state of another organism is a foundational biological trait. The PAM posits that perceiving another’s state automatically activates corresponding representations in the observer, providing the neural substrate upon which more complex empathic processes are built.</w:t>
      </w:r>
    </w:p>
    <w:p>
      <w:pPr>
        <w:spacing w:after="120" w:line="280"/>
        <w:ind w:left="720"/>
      </w:pPr>
      <w:r>
        <w:rPr>
          <w:rFonts w:ascii="Georgia" w:cs="Georgia" w:eastAsia="Georgia" w:hAnsi="Georgia"/>
          <w:i/>
          <w:iCs/>
          <w:color w:val="444444"/>
          <w:sz w:val="22"/>
          <w:szCs w:val="22"/>
        </w:rPr>
        <w:t xml:space="preserve">de Waal, F.B.M. (2008). Putting the altruism back into altruism: The evolution of empathy. Annual Review of Psychology, 59, 279–300.</w:t>
      </w:r>
    </w:p>
    <w:p>
      <w:pPr>
        <w:pStyle w:val="Heading3"/>
        <w:spacing w:before="280" w:after="140"/>
      </w:pPr>
      <w:r>
        <w:rPr>
          <w:rFonts w:ascii="Arial" w:cs="Arial" w:eastAsia="Arial" w:hAnsi="Arial"/>
          <w:b/>
          <w:bCs/>
          <w:color w:val="3D6E99"/>
          <w:sz w:val="26"/>
          <w:szCs w:val="26"/>
        </w:rPr>
        <w:t xml:space="preserve">Critical Refinement: The Sensory-to-State Gap</w:t>
      </w:r>
    </w:p>
    <w:p>
      <w:pPr>
        <w:spacing w:after="200" w:line="300"/>
      </w:pPr>
      <w:r>
        <w:rPr>
          <w:rFonts w:ascii="Georgia" w:cs="Georgia" w:eastAsia="Georgia" w:hAnsi="Georgia"/>
          <w:sz w:val="24"/>
          <w:szCs w:val="24"/>
        </w:rPr>
        <w:t xml:space="preserve">It is important to note a distinction: modeling what a predator perceives is not identical to modeling what a predator intends or feels. Solitary camouflage requires perception-modeling (what does the predator’s visual system detect?), whereas true empathy requires state-modeling (what is the predator’s internal condition—its attention, its intent, its motivation?). These are different computational problems. Sensory-field modeling is a necessary precursor, but additional selection pressure is required to drive the transition to full state inference. That pressure emerges in the next phase.</w:t>
      </w:r>
    </w:p>
    <w:p>
      <w:pPr>
        <w:pStyle w:val="Heading1"/>
        <w:spacing w:before="480" w:after="240"/>
      </w:pPr>
      <w:r>
        <w:rPr>
          <w:rFonts w:ascii="Arial" w:cs="Arial" w:eastAsia="Arial" w:hAnsi="Arial"/>
          <w:b/>
          <w:bCs/>
          <w:color w:val="1B3A5C"/>
          <w:sz w:val="36"/>
          <w:szCs w:val="36"/>
        </w:rPr>
        <w:t xml:space="preserve">2. The Herd Transition: From Perception to Intent Modeling</w:t>
      </w:r>
    </w:p>
    <w:p>
      <w:pPr>
        <w:spacing w:after="200" w:line="300"/>
      </w:pPr>
      <w:r>
        <w:rPr>
          <w:rFonts w:ascii="Georgia" w:cs="Georgia" w:eastAsia="Georgia" w:hAnsi="Georgia"/>
          <w:sz w:val="24"/>
          <w:szCs w:val="24"/>
        </w:rPr>
        <w:t xml:space="preserve">The moment an organism lives in a group, the computational problem fundamentally shifts. The question is no longer “can the predator see me?” but “is the predator choosing me?” This is attentional modeling—inferring targeting intent from trajectory, acceleration, and gaze direction—which is qualitatively closer to genuine state inference than solitary concealment ever requires.</w:t>
      </w:r>
    </w:p>
    <w:p>
      <w:pPr>
        <w:pStyle w:val="Heading3"/>
        <w:spacing w:before="280" w:after="140"/>
      </w:pPr>
      <w:r>
        <w:rPr>
          <w:rFonts w:ascii="Arial" w:cs="Arial" w:eastAsia="Arial" w:hAnsi="Arial"/>
          <w:b/>
          <w:bCs/>
          <w:color w:val="3D6E99"/>
          <w:sz w:val="26"/>
          <w:szCs w:val="26"/>
        </w:rPr>
        <w:t xml:space="preserve">Hamilton’s Selfish Herd</w:t>
      </w:r>
    </w:p>
    <w:p>
      <w:pPr>
        <w:spacing w:after="200" w:line="300"/>
      </w:pPr>
      <w:r>
        <w:rPr>
          <w:rFonts w:ascii="Georgia" w:cs="Georgia" w:eastAsia="Georgia" w:hAnsi="Georgia"/>
          <w:sz w:val="24"/>
          <w:szCs w:val="24"/>
        </w:rPr>
        <w:t xml:space="preserve">W.D. Hamilton’s selfish herd theory provides the formal framework. Animals in groups constantly reposition to place conspecifics between themselves and the predator. This is not mere perception-modeling; it requires computing something like: “Given the predator’s current trajectory, is it converging on me or on the animal to my left?” Critically, this computation occurs in competition with herdmates who are running the same calculation and attempting to maneuver others into the danger zone.</w:t>
      </w:r>
    </w:p>
    <w:p>
      <w:pPr>
        <w:spacing w:after="120" w:line="280"/>
        <w:ind w:left="720"/>
      </w:pPr>
      <w:r>
        <w:rPr>
          <w:rFonts w:ascii="Georgia" w:cs="Georgia" w:eastAsia="Georgia" w:hAnsi="Georgia"/>
          <w:i/>
          <w:iCs/>
          <w:color w:val="444444"/>
          <w:sz w:val="22"/>
          <w:szCs w:val="22"/>
        </w:rPr>
        <w:t xml:space="preserve">Hamilton, W.D. (1971). Geometry for the selfish herd. Journal of Theoretical Biology, 31(2), 295–311.</w:t>
      </w:r>
    </w:p>
    <w:p>
      <w:pPr>
        <w:pStyle w:val="Heading3"/>
        <w:spacing w:before="280" w:after="140"/>
      </w:pPr>
      <w:r>
        <w:rPr>
          <w:rFonts w:ascii="Arial" w:cs="Arial" w:eastAsia="Arial" w:hAnsi="Arial"/>
          <w:b/>
          <w:bCs/>
          <w:color w:val="3D6E99"/>
          <w:sz w:val="26"/>
          <w:szCs w:val="26"/>
        </w:rPr>
        <w:t xml:space="preserve">The Intragroup Modeling Explosion</w:t>
      </w:r>
    </w:p>
    <w:p>
      <w:pPr>
        <w:spacing w:after="200" w:line="300"/>
      </w:pPr>
      <w:r>
        <w:rPr>
          <w:rFonts w:ascii="Georgia" w:cs="Georgia" w:eastAsia="Georgia" w:hAnsi="Georgia"/>
          <w:sz w:val="24"/>
          <w:szCs w:val="24"/>
        </w:rPr>
        <w:t xml:space="preserve">This competitive herd dynamic introduces a third computational stage that tightens the evolutionary arc considerably:</w:t>
      </w:r>
    </w:p>
    <w:p>
      <w:pPr>
        <w:spacing w:after="200" w:line="300"/>
      </w:pPr>
      <w:r>
        <w:rPr>
          <w:rFonts w:ascii="Georgia" w:cs="Georgia" w:eastAsia="Georgia" w:hAnsi="Georgia"/>
          <w:b/>
          <w:bCs/>
          <w:sz w:val="24"/>
          <w:szCs w:val="24"/>
        </w:rPr>
        <w:t xml:space="preserve">Stage 1 — Solitary Concealment: </w:t>
      </w:r>
      <w:r>
        <w:rPr>
          <w:rFonts w:ascii="Georgia" w:cs="Georgia" w:eastAsia="Georgia" w:hAnsi="Georgia"/>
          <w:sz w:val="24"/>
          <w:szCs w:val="24"/>
        </w:rPr>
        <w:t xml:space="preserve">Model predator sensory input (can it see me?).</w:t>
      </w:r>
    </w:p>
    <w:p>
      <w:pPr>
        <w:spacing w:after="200" w:line="300"/>
      </w:pPr>
      <w:r>
        <w:rPr>
          <w:rFonts w:ascii="Georgia" w:cs="Georgia" w:eastAsia="Georgia" w:hAnsi="Georgia"/>
          <w:b/>
          <w:bCs/>
          <w:sz w:val="24"/>
          <w:szCs w:val="24"/>
        </w:rPr>
        <w:t xml:space="preserve">Stage 2 — Group Living: </w:t>
      </w:r>
      <w:r>
        <w:rPr>
          <w:rFonts w:ascii="Georgia" w:cs="Georgia" w:eastAsia="Georgia" w:hAnsi="Georgia"/>
          <w:sz w:val="24"/>
          <w:szCs w:val="24"/>
        </w:rPr>
        <w:t xml:space="preserve">Model predator attentional state and targeting intent (is it choosing me?).</w:t>
      </w:r>
    </w:p>
    <w:p>
      <w:pPr>
        <w:spacing w:after="200" w:line="300"/>
      </w:pPr>
      <w:r>
        <w:rPr>
          <w:rFonts w:ascii="Georgia" w:cs="Georgia" w:eastAsia="Georgia" w:hAnsi="Georgia"/>
          <w:b/>
          <w:bCs/>
          <w:sz w:val="24"/>
          <w:szCs w:val="24"/>
        </w:rPr>
        <w:t xml:space="preserve">Stage 3 — Intragroup Competition: </w:t>
      </w:r>
      <w:r>
        <w:rPr>
          <w:rFonts w:ascii="Georgia" w:cs="Georgia" w:eastAsia="Georgia" w:hAnsi="Georgia"/>
          <w:sz w:val="24"/>
          <w:szCs w:val="24"/>
        </w:rPr>
        <w:t xml:space="preserve">Model conspecific states (what does my neighbor know, what are they about to do, can I predict their movement before the predator predicts both of us?).</w:t>
      </w:r>
    </w:p>
    <w:p>
      <w:pPr>
        <w:spacing w:after="200" w:line="300"/>
      </w:pPr>
      <w:r>
        <w:rPr>
          <w:rFonts w:ascii="Georgia" w:cs="Georgia" w:eastAsia="Georgia" w:hAnsi="Georgia"/>
          <w:sz w:val="24"/>
          <w:szCs w:val="24"/>
        </w:rPr>
        <w:t xml:space="preserve">Stage 3 is where the computational explosion occurs. The organism is no longer modeling an alien mind (the predator) for a single variable. It is modeling minds similar to its own across multiple variables simultaneously. This is the selection pressure that could plausibly drive the kind of neural investment observed in primate social cognition.</w:t>
      </w:r>
    </w:p>
    <w:p>
      <w:pPr>
        <w:pStyle w:val="Heading3"/>
        <w:spacing w:before="280" w:after="140"/>
      </w:pPr>
      <w:r>
        <w:rPr>
          <w:rFonts w:ascii="Arial" w:cs="Arial" w:eastAsia="Arial" w:hAnsi="Arial"/>
          <w:b/>
          <w:bCs/>
          <w:color w:val="3D6E99"/>
          <w:sz w:val="26"/>
          <w:szCs w:val="26"/>
        </w:rPr>
        <w:t xml:space="preserve">Supporting Research</w:t>
      </w:r>
    </w:p>
    <w:p>
      <w:pPr>
        <w:spacing w:after="200" w:line="300"/>
      </w:pPr>
      <w:r>
        <w:rPr>
          <w:rFonts w:ascii="Georgia" w:cs="Georgia" w:eastAsia="Georgia" w:hAnsi="Georgia"/>
          <w:b/>
          <w:bCs/>
          <w:sz w:val="24"/>
          <w:szCs w:val="24"/>
        </w:rPr>
        <w:t xml:space="preserve">Krause &amp; Ruxton (2002) </w:t>
      </w:r>
      <w:r>
        <w:rPr>
          <w:rFonts w:ascii="Georgia" w:cs="Georgia" w:eastAsia="Georgia" w:hAnsi="Georgia"/>
          <w:sz w:val="24"/>
          <w:szCs w:val="24"/>
        </w:rPr>
        <w:t xml:space="preserve">provide extensive evidence that group-living animals engage in sophisticated positional decision-making that requires real-time modeling of both predator and conspecific behavior.</w:t>
      </w:r>
    </w:p>
    <w:p>
      <w:pPr>
        <w:spacing w:after="120" w:line="280"/>
        <w:ind w:left="720"/>
      </w:pPr>
      <w:r>
        <w:rPr>
          <w:rFonts w:ascii="Georgia" w:cs="Georgia" w:eastAsia="Georgia" w:hAnsi="Georgia"/>
          <w:i/>
          <w:iCs/>
          <w:color w:val="444444"/>
          <w:sz w:val="22"/>
          <w:szCs w:val="22"/>
        </w:rPr>
        <w:t xml:space="preserve">Krause, J. &amp; Ruxton, G.D. (2002). Living in Groups. Oxford University Press.</w:t>
      </w:r>
    </w:p>
    <w:p>
      <w:pPr>
        <w:spacing w:after="200" w:line="300"/>
      </w:pPr>
      <w:r>
        <w:rPr>
          <w:rFonts w:ascii="Georgia" w:cs="Georgia" w:eastAsia="Georgia" w:hAnsi="Georgia"/>
          <w:b/>
          <w:bCs/>
          <w:sz w:val="24"/>
          <w:szCs w:val="24"/>
        </w:rPr>
        <w:t xml:space="preserve">King, Wilson, &amp; colleagues (2012) </w:t>
      </w:r>
      <w:r>
        <w:rPr>
          <w:rFonts w:ascii="Georgia" w:cs="Georgia" w:eastAsia="Georgia" w:hAnsi="Georgia"/>
          <w:sz w:val="24"/>
          <w:szCs w:val="24"/>
        </w:rPr>
        <w:t xml:space="preserve">demonstrate that collective animal behavior involves individual-level decision-making that accounts for the actions and likely future states of group members, consistent with a form of tactical social cognition.</w:t>
      </w:r>
    </w:p>
    <w:p>
      <w:pPr>
        <w:spacing w:after="120" w:line="280"/>
        <w:ind w:left="720"/>
      </w:pPr>
      <w:r>
        <w:rPr>
          <w:rFonts w:ascii="Georgia" w:cs="Georgia" w:eastAsia="Georgia" w:hAnsi="Georgia"/>
          <w:i/>
          <w:iCs/>
          <w:color w:val="444444"/>
          <w:sz w:val="22"/>
          <w:szCs w:val="22"/>
        </w:rPr>
        <w:t xml:space="preserve">King, A.J., Wilson, A.M., et al. (2012). Selfish-herd behaviour of sheep under threat. Current Biology, 22(14), R561–R562.</w:t>
      </w:r>
    </w:p>
    <w:p>
      <w:pPr>
        <w:pStyle w:val="Heading1"/>
        <w:spacing w:before="480" w:after="240"/>
      </w:pPr>
      <w:r>
        <w:rPr>
          <w:rFonts w:ascii="Arial" w:cs="Arial" w:eastAsia="Arial" w:hAnsi="Arial"/>
          <w:b/>
          <w:bCs/>
          <w:color w:val="1B3A5C"/>
          <w:sz w:val="36"/>
          <w:szCs w:val="36"/>
        </w:rPr>
        <w:t xml:space="preserve">3. The Dual Pressure: Selfish Positioning and Collective Defense</w:t>
      </w:r>
    </w:p>
    <w:p>
      <w:pPr>
        <w:spacing w:after="200" w:line="300"/>
      </w:pPr>
      <w:r>
        <w:rPr>
          <w:rFonts w:ascii="Georgia" w:cs="Georgia" w:eastAsia="Georgia" w:hAnsi="Georgia"/>
          <w:sz w:val="24"/>
          <w:szCs w:val="24"/>
        </w:rPr>
        <w:t xml:space="preserve">The evolutionary picture becomes significantly richer when we recognize that two competing pressures operate simultaneously on the same perspective-taking machinery.</w:t>
      </w:r>
    </w:p>
    <w:p>
      <w:pPr>
        <w:spacing w:after="200" w:line="300"/>
      </w:pPr>
      <w:r>
        <w:rPr>
          <w:rFonts w:ascii="Georgia" w:cs="Georgia" w:eastAsia="Georgia" w:hAnsi="Georgia"/>
          <w:sz w:val="24"/>
          <w:szCs w:val="24"/>
        </w:rPr>
        <w:t xml:space="preserve">The selfish herd math says: place someone else between you and the predator. But the inclusive fitness math says: that calf shares your genes, and if it dies, your lineage takes a hit. Both pressures are simultaneously true, and their tension itself drives cognitive complexity.</w:t>
      </w:r>
    </w:p>
    <w:p>
      <w:pPr>
        <w:pStyle w:val="Heading3"/>
        <w:spacing w:before="280" w:after="140"/>
      </w:pPr>
      <w:r>
        <w:rPr>
          <w:rFonts w:ascii="Arial" w:cs="Arial" w:eastAsia="Arial" w:hAnsi="Arial"/>
          <w:b/>
          <w:bCs/>
          <w:color w:val="3D6E99"/>
          <w:sz w:val="26"/>
          <w:szCs w:val="26"/>
        </w:rPr>
        <w:t xml:space="preserve">Observed Collective Defense Behaviors</w:t>
      </w:r>
    </w:p>
    <w:p>
      <w:pPr>
        <w:spacing w:after="200" w:line="300"/>
      </w:pPr>
      <w:r>
        <w:rPr>
          <w:rFonts w:ascii="Georgia" w:cs="Georgia" w:eastAsia="Georgia" w:hAnsi="Georgia"/>
          <w:sz w:val="24"/>
          <w:szCs w:val="24"/>
        </w:rPr>
        <w:t xml:space="preserve">Elephants forming protective rings around calves, wildebeest adults positioning themselves on the herd perimeter, musk oxen forming defensive formations—these behaviors require modeling not just the predator’s intent but the vulnerability state of group members. The question shifts from “what is the predator targeting?” to “what does my group need from me right now?” The second question is functionally indistinguishable from what we would call empathy in a human context.</w:t>
      </w:r>
    </w:p>
    <w:p>
      <w:pPr>
        <w:spacing w:after="120" w:line="280"/>
        <w:ind w:left="720"/>
      </w:pPr>
      <w:r>
        <w:rPr>
          <w:rFonts w:ascii="Georgia" w:cs="Georgia" w:eastAsia="Georgia" w:hAnsi="Georgia"/>
          <w:i/>
          <w:iCs/>
          <w:color w:val="444444"/>
          <w:sz w:val="22"/>
          <w:szCs w:val="22"/>
        </w:rPr>
        <w:t xml:space="preserve">McComb, K., et al. (2011). Leadership in elephants: The adaptive value of age. Proceedings of the Royal Society B, 278(1722), 3270–3276.</w:t>
      </w:r>
    </w:p>
    <w:p>
      <w:pPr>
        <w:spacing w:after="120" w:line="280"/>
        <w:ind w:left="720"/>
      </w:pPr>
      <w:r>
        <w:rPr>
          <w:rFonts w:ascii="Georgia" w:cs="Georgia" w:eastAsia="Georgia" w:hAnsi="Georgia"/>
          <w:i/>
          <w:iCs/>
          <w:color w:val="444444"/>
          <w:sz w:val="22"/>
          <w:szCs w:val="22"/>
        </w:rPr>
        <w:t xml:space="preserve">Lee, P.C. (1987). Allomothering among African elephants. Animal Behaviour, 35(1), 278–291.</w:t>
      </w:r>
    </w:p>
    <w:p>
      <w:pPr>
        <w:pStyle w:val="Heading3"/>
        <w:spacing w:before="280" w:after="140"/>
      </w:pPr>
      <w:r>
        <w:rPr>
          <w:rFonts w:ascii="Arial" w:cs="Arial" w:eastAsia="Arial" w:hAnsi="Arial"/>
          <w:b/>
          <w:bCs/>
          <w:color w:val="3D6E99"/>
          <w:sz w:val="26"/>
          <w:szCs w:val="26"/>
        </w:rPr>
        <w:t xml:space="preserve">Inclusive Fitness and Kin Selection</w:t>
      </w:r>
    </w:p>
    <w:p>
      <w:pPr>
        <w:spacing w:after="200" w:line="300"/>
      </w:pPr>
      <w:r>
        <w:rPr>
          <w:rFonts w:ascii="Georgia" w:cs="Georgia" w:eastAsia="Georgia" w:hAnsi="Georgia"/>
          <w:b/>
          <w:bCs/>
          <w:sz w:val="24"/>
          <w:szCs w:val="24"/>
        </w:rPr>
        <w:t xml:space="preserve">Hamilton’s rule (1964) </w:t>
      </w:r>
      <w:r>
        <w:rPr>
          <w:rFonts w:ascii="Georgia" w:cs="Georgia" w:eastAsia="Georgia" w:hAnsi="Georgia"/>
          <w:sz w:val="24"/>
          <w:szCs w:val="24"/>
        </w:rPr>
        <w:t xml:space="preserve">provides the formal basis: altruistic behavior evolves when the cost to the actor is outweighed by the benefit to the recipient, weighted by their genetic relatedness (rB &gt; C). This doesn’t negate the selfish herd dynamic—it operates alongside it. The animal that can fluidly switch between “sacrifice my neighbor” and “protect the calf” depending on context must maintain richer internal models than one that only does either.</w:t>
      </w:r>
    </w:p>
    <w:p>
      <w:pPr>
        <w:spacing w:after="120" w:line="280"/>
        <w:ind w:left="720"/>
      </w:pPr>
      <w:r>
        <w:rPr>
          <w:rFonts w:ascii="Georgia" w:cs="Georgia" w:eastAsia="Georgia" w:hAnsi="Georgia"/>
          <w:i/>
          <w:iCs/>
          <w:color w:val="444444"/>
          <w:sz w:val="22"/>
          <w:szCs w:val="22"/>
        </w:rPr>
        <w:t xml:space="preserve">Hamilton, W.D. (1964). The genetical evolution of social behaviour I &amp; II. Journal of Theoretical Biology, 7(1), 1–52.</w:t>
      </w:r>
    </w:p>
    <w:p>
      <w:pPr>
        <w:pStyle w:val="Heading3"/>
        <w:spacing w:before="280" w:after="140"/>
      </w:pPr>
      <w:r>
        <w:rPr>
          <w:rFonts w:ascii="Arial" w:cs="Arial" w:eastAsia="Arial" w:hAnsi="Arial"/>
          <w:b/>
          <w:bCs/>
          <w:color w:val="3D6E99"/>
          <w:sz w:val="26"/>
          <w:szCs w:val="26"/>
        </w:rPr>
        <w:t xml:space="preserve">Situational Ethics on Biological Hardware</w:t>
      </w:r>
    </w:p>
    <w:p>
      <w:pPr>
        <w:spacing w:after="200" w:line="300"/>
      </w:pPr>
      <w:r>
        <w:rPr>
          <w:rFonts w:ascii="Georgia" w:cs="Georgia" w:eastAsia="Georgia" w:hAnsi="Georgia"/>
          <w:sz w:val="24"/>
          <w:szCs w:val="24"/>
        </w:rPr>
        <w:t xml:space="preserve">This dual pressure demands something like situational ethics running on top of the perspective-taking hardware. The organism needs to rapidly assess context (who is at risk, what is my relatedness to them, what is my own risk exposure, what are other group members doing) and switch behavioral modes accordingly. This is a significantly more demanding computational task than either pure selfishness or pure altruism alone, and represents a plausible driver for the evolution of flexible, context-sensitive social cognition.</w:t>
      </w:r>
    </w:p>
    <w:p>
      <w:pPr>
        <w:pStyle w:val="Heading1"/>
        <w:spacing w:before="480" w:after="240"/>
      </w:pPr>
      <w:r>
        <w:rPr>
          <w:rFonts w:ascii="Arial" w:cs="Arial" w:eastAsia="Arial" w:hAnsi="Arial"/>
          <w:b/>
          <w:bCs/>
          <w:color w:val="1B3A5C"/>
          <w:sz w:val="36"/>
          <w:szCs w:val="36"/>
        </w:rPr>
        <w:t xml:space="preserve">4. Social Selection and the Birth of Language</w:t>
      </w:r>
    </w:p>
    <w:p>
      <w:pPr>
        <w:spacing w:after="200" w:line="300"/>
      </w:pPr>
      <w:r>
        <w:rPr>
          <w:rFonts w:ascii="Georgia" w:cs="Georgia" w:eastAsia="Georgia" w:hAnsi="Georgia"/>
          <w:sz w:val="24"/>
          <w:szCs w:val="24"/>
        </w:rPr>
        <w:t xml:space="preserve">Once the capability to model another’s mind exists—forged in the adversarial and cooperative pressures of group predator defense—it transitions from survival tool to social instrument. Theory of Mind enables tactical deception, complex mating rituals, coalition formation, and eventually language.</w:t>
      </w:r>
    </w:p>
    <w:p>
      <w:pPr>
        <w:spacing w:after="200" w:line="300"/>
      </w:pPr>
      <w:r>
        <w:rPr>
          <w:rFonts w:ascii="Georgia" w:cs="Georgia" w:eastAsia="Georgia" w:hAnsi="Georgia"/>
          <w:sz w:val="24"/>
          <w:szCs w:val="24"/>
        </w:rPr>
        <w:t xml:space="preserve">Language in this framework is understood as the high-bandwidth protocol for transmitting mental models between individuals. It allows two organisms to synchronize their internal representations of the world, moving beyond immediate signals to abstract concepts including past events, future plans, and inferred intent.</w:t>
      </w:r>
    </w:p>
    <w:p>
      <w:pPr>
        <w:pStyle w:val="Heading3"/>
        <w:spacing w:before="280" w:after="140"/>
      </w:pPr>
      <w:r>
        <w:rPr>
          <w:rFonts w:ascii="Arial" w:cs="Arial" w:eastAsia="Arial" w:hAnsi="Arial"/>
          <w:b/>
          <w:bCs/>
          <w:color w:val="3D6E99"/>
          <w:sz w:val="26"/>
          <w:szCs w:val="26"/>
        </w:rPr>
        <w:t xml:space="preserve">Supporting Research</w:t>
      </w:r>
    </w:p>
    <w:p>
      <w:pPr>
        <w:spacing w:after="200" w:line="300"/>
      </w:pPr>
      <w:r>
        <w:rPr>
          <w:rFonts w:ascii="Georgia" w:cs="Georgia" w:eastAsia="Georgia" w:hAnsi="Georgia"/>
          <w:b/>
          <w:bCs/>
          <w:sz w:val="24"/>
          <w:szCs w:val="24"/>
        </w:rPr>
        <w:t xml:space="preserve">W. Tecumseh Fitch (2010) </w:t>
      </w:r>
      <w:r>
        <w:rPr>
          <w:rFonts w:ascii="Georgia" w:cs="Georgia" w:eastAsia="Georgia" w:hAnsi="Georgia"/>
          <w:sz w:val="24"/>
          <w:szCs w:val="24"/>
        </w:rPr>
        <w:t xml:space="preserve">argues in The Evolution of Language that the cognitive “software” of social intelligence—knowing that others have thoughts, modeling their knowledge states—had to precede the anatomical “hardware” of complex speech. The capacity for perspective-taking is a prerequisite for language, not a consequence of it.</w:t>
      </w:r>
    </w:p>
    <w:p>
      <w:pPr>
        <w:spacing w:after="120" w:line="280"/>
        <w:ind w:left="720"/>
      </w:pPr>
      <w:r>
        <w:rPr>
          <w:rFonts w:ascii="Georgia" w:cs="Georgia" w:eastAsia="Georgia" w:hAnsi="Georgia"/>
          <w:i/>
          <w:iCs/>
          <w:color w:val="444444"/>
          <w:sz w:val="22"/>
          <w:szCs w:val="22"/>
        </w:rPr>
        <w:t xml:space="preserve">Fitch, W.T. (2010). The Evolution of Language. Cambridge University Press.</w:t>
      </w:r>
    </w:p>
    <w:p>
      <w:pPr>
        <w:spacing w:after="200" w:line="300"/>
      </w:pPr>
      <w:r>
        <w:rPr>
          <w:rFonts w:ascii="Georgia" w:cs="Georgia" w:eastAsia="Georgia" w:hAnsi="Georgia"/>
          <w:b/>
          <w:bCs/>
          <w:sz w:val="24"/>
          <w:szCs w:val="24"/>
        </w:rPr>
        <w:t xml:space="preserve">Nicholas Humphrey (1976) </w:t>
      </w:r>
      <w:r>
        <w:rPr>
          <w:rFonts w:ascii="Georgia" w:cs="Georgia" w:eastAsia="Georgia" w:hAnsi="Georgia"/>
          <w:sz w:val="24"/>
          <w:szCs w:val="24"/>
        </w:rPr>
        <w:t xml:space="preserve">posits that primate intellect evolved specifically to navigate the social complexities of predicting others’ behavior. Intelligence, in this view, is primarily social intelligence—the ability to model, predict, and manipulate the mental states of conspecifics.</w:t>
      </w:r>
    </w:p>
    <w:p>
      <w:pPr>
        <w:spacing w:after="120" w:line="280"/>
        <w:ind w:left="720"/>
      </w:pPr>
      <w:r>
        <w:rPr>
          <w:rFonts w:ascii="Georgia" w:cs="Georgia" w:eastAsia="Georgia" w:hAnsi="Georgia"/>
          <w:i/>
          <w:iCs/>
          <w:color w:val="444444"/>
          <w:sz w:val="22"/>
          <w:szCs w:val="22"/>
        </w:rPr>
        <w:t xml:space="preserve">Humphrey, N.K. (1976). The social function of intellect. In Bateson &amp; Hinde (Eds.), Growing Points in Ethology, 303–317.</w:t>
      </w:r>
    </w:p>
    <w:p>
      <w:pPr>
        <w:spacing w:after="200" w:line="300"/>
      </w:pPr>
      <w:r>
        <w:rPr>
          <w:rFonts w:ascii="Georgia" w:cs="Georgia" w:eastAsia="Georgia" w:hAnsi="Georgia"/>
          <w:b/>
          <w:bCs/>
          <w:sz w:val="24"/>
          <w:szCs w:val="24"/>
        </w:rPr>
        <w:t xml:space="preserve">Michael Tomasello (2008) </w:t>
      </w:r>
      <w:r>
        <w:rPr>
          <w:rFonts w:ascii="Georgia" w:cs="Georgia" w:eastAsia="Georgia" w:hAnsi="Georgia"/>
          <w:sz w:val="24"/>
          <w:szCs w:val="24"/>
        </w:rPr>
        <w:t xml:space="preserve">extends this by arguing that human communication is fundamentally built on shared intentionality—the ability to create joint attention and shared goals—which requires recursive modeling of what the other person knows and intends.</w:t>
      </w:r>
    </w:p>
    <w:p>
      <w:pPr>
        <w:spacing w:after="120" w:line="280"/>
        <w:ind w:left="720"/>
      </w:pPr>
      <w:r>
        <w:rPr>
          <w:rFonts w:ascii="Georgia" w:cs="Georgia" w:eastAsia="Georgia" w:hAnsi="Georgia"/>
          <w:i/>
          <w:iCs/>
          <w:color w:val="444444"/>
          <w:sz w:val="22"/>
          <w:szCs w:val="22"/>
        </w:rPr>
        <w:t xml:space="preserve">Tomasello, M. (2008). Origins of Human Communication. MIT Press.</w:t>
      </w:r>
    </w:p>
    <w:p>
      <w:pPr>
        <w:pStyle w:val="Heading1"/>
        <w:spacing w:before="480" w:after="240"/>
      </w:pPr>
      <w:r>
        <w:rPr>
          <w:rFonts w:ascii="Arial" w:cs="Arial" w:eastAsia="Arial" w:hAnsi="Arial"/>
          <w:b/>
          <w:bCs/>
          <w:color w:val="1B3A5C"/>
          <w:sz w:val="36"/>
          <w:szCs w:val="36"/>
        </w:rPr>
        <w:t xml:space="preserve">5. The Bridge: From Organic Signaling to Structured Simulation</w:t>
      </w:r>
    </w:p>
    <w:p>
      <w:pPr>
        <w:spacing w:after="200" w:line="300"/>
      </w:pPr>
      <w:r>
        <w:rPr>
          <w:rFonts w:ascii="Georgia" w:cs="Georgia" w:eastAsia="Georgia" w:hAnsi="Georgia"/>
          <w:sz w:val="24"/>
          <w:szCs w:val="24"/>
        </w:rPr>
        <w:t xml:space="preserve">As cognitive and linguistic complexity increases, the mental model of others becomes externalized and codified into formal systems. This transition from implicit, neural-level modeling to explicit, rule-governed simulation represents a qualitative shift in collaborative capacity.</w:t>
      </w:r>
    </w:p>
    <w:p>
      <w:pPr>
        <w:pStyle w:val="Heading2"/>
        <w:spacing w:before="360" w:after="180"/>
      </w:pPr>
      <w:r>
        <w:rPr>
          <w:rFonts w:ascii="Arial" w:cs="Arial" w:eastAsia="Arial" w:hAnsi="Arial"/>
          <w:b/>
          <w:bCs/>
          <w:color w:val="2E5984"/>
          <w:sz w:val="30"/>
          <w:szCs w:val="30"/>
        </w:rPr>
        <w:t xml:space="preserve">5a. Tabletop Roleplaying as Manual Collaborative Modeling</w:t>
      </w:r>
    </w:p>
    <w:p>
      <w:pPr>
        <w:spacing w:after="200" w:line="300"/>
      </w:pPr>
      <w:r>
        <w:rPr>
          <w:rFonts w:ascii="Georgia" w:cs="Georgia" w:eastAsia="Georgia" w:hAnsi="Georgia"/>
          <w:sz w:val="24"/>
          <w:szCs w:val="24"/>
        </w:rPr>
        <w:t xml:space="preserve">Dungeons &amp; Dragons and similar tabletop roleplaying systems represent a sophisticated manual implementation of collaborative modeling. Using a rigid rule set and continuous dialogue, players create and maintain a Shared Mental Model: the current state of a fictional world, including the internal states, knowledge, and intentions of multiple characters.</w:t>
      </w:r>
    </w:p>
    <w:p>
      <w:pPr>
        <w:spacing w:after="200" w:line="300"/>
      </w:pPr>
      <w:r>
        <w:rPr>
          <w:rFonts w:ascii="Georgia" w:cs="Georgia" w:eastAsia="Georgia" w:hAnsi="Georgia"/>
          <w:sz w:val="24"/>
          <w:szCs w:val="24"/>
        </w:rPr>
        <w:t xml:space="preserve">The Game Master functions as the central state manager—maintaining world-state, adjudicating actions, and simulating NPC perspectives. Players engage in continuous perspective-taking: modeling not only their own character’s knowledge and goals but also those of other characters, NPCs, and the shared environment. This is a group exercise in empathy and intent simulation, bounded by explicit rules.</w:t>
      </w:r>
    </w:p>
    <w:p>
      <w:pPr>
        <w:pStyle w:val="Heading3"/>
        <w:spacing w:before="280" w:after="140"/>
      </w:pPr>
      <w:r>
        <w:rPr>
          <w:rFonts w:ascii="Arial" w:cs="Arial" w:eastAsia="Arial" w:hAnsi="Arial"/>
          <w:b/>
          <w:bCs/>
          <w:color w:val="3D6E99"/>
          <w:sz w:val="26"/>
          <w:szCs w:val="26"/>
        </w:rPr>
        <w:t xml:space="preserve">Supporting Research</w:t>
      </w:r>
    </w:p>
    <w:p>
      <w:pPr>
        <w:spacing w:after="200" w:line="300"/>
      </w:pPr>
      <w:r>
        <w:rPr>
          <w:rFonts w:ascii="Georgia" w:cs="Georgia" w:eastAsia="Georgia" w:hAnsi="Georgia"/>
          <w:b/>
          <w:bCs/>
          <w:sz w:val="24"/>
          <w:szCs w:val="24"/>
        </w:rPr>
        <w:t xml:space="preserve">Tollefsen (2006) </w:t>
      </w:r>
      <w:r>
        <w:rPr>
          <w:rFonts w:ascii="Georgia" w:cs="Georgia" w:eastAsia="Georgia" w:hAnsi="Georgia"/>
          <w:sz w:val="24"/>
          <w:szCs w:val="24"/>
        </w:rPr>
        <w:t xml:space="preserve">explores how groups create a “plural subject” through shared intent. The key insight is that effective group cognition requires participants to form and maintain models of each other’s knowledge states, creating a kind of distributed Theory of Mind.</w:t>
      </w:r>
    </w:p>
    <w:p>
      <w:pPr>
        <w:spacing w:after="120" w:line="280"/>
        <w:ind w:left="720"/>
      </w:pPr>
      <w:r>
        <w:rPr>
          <w:rFonts w:ascii="Georgia" w:cs="Georgia" w:eastAsia="Georgia" w:hAnsi="Georgia"/>
          <w:i/>
          <w:iCs/>
          <w:color w:val="444444"/>
          <w:sz w:val="22"/>
          <w:szCs w:val="22"/>
        </w:rPr>
        <w:t xml:space="preserve">Tollefsen, D. (2006). From extended mind to collective mind. Cognitive Systems Research, 7(2–3), 140–150.</w:t>
      </w:r>
    </w:p>
    <w:p>
      <w:pPr>
        <w:spacing w:after="200" w:line="300"/>
      </w:pPr>
      <w:r>
        <w:rPr>
          <w:rFonts w:ascii="Georgia" w:cs="Georgia" w:eastAsia="Georgia" w:hAnsi="Georgia"/>
          <w:b/>
          <w:bCs/>
          <w:i/>
          <w:iCs/>
          <w:sz w:val="24"/>
          <w:szCs w:val="24"/>
        </w:rPr>
        <w:t xml:space="preserve">Note on the Plural Subject Framework: </w:t>
      </w:r>
      <w:r>
        <w:rPr>
          <w:rFonts w:ascii="Georgia" w:cs="Georgia" w:eastAsia="Georgia" w:hAnsi="Georgia"/>
          <w:i/>
          <w:iCs/>
          <w:sz w:val="24"/>
          <w:szCs w:val="24"/>
        </w:rPr>
        <w:t xml:space="preserve">Tollefsen’s work describes groups of agents with genuine intentionality forming shared intent. Applying this framework to human-AI teams requires either granting the AI genuine intentionality (contested) or redefining “plural subject” to accommodate one agent that simulates intentionality. This ambiguity should be made explicit in any formal treatment.</w:t>
      </w:r>
    </w:p>
    <w:p>
      <w:pPr>
        <w:pStyle w:val="Heading2"/>
        <w:spacing w:before="360" w:after="180"/>
      </w:pPr>
      <w:r>
        <w:rPr>
          <w:rFonts w:ascii="Arial" w:cs="Arial" w:eastAsia="Arial" w:hAnsi="Arial"/>
          <w:b/>
          <w:bCs/>
          <w:color w:val="2E5984"/>
          <w:sz w:val="30"/>
          <w:szCs w:val="30"/>
        </w:rPr>
        <w:t xml:space="preserve">5b. Human-AI Collaboration as the Current Frontier</w:t>
      </w:r>
    </w:p>
    <w:p>
      <w:pPr>
        <w:spacing w:after="200" w:line="300"/>
      </w:pPr>
      <w:r>
        <w:rPr>
          <w:rFonts w:ascii="Georgia" w:cs="Georgia" w:eastAsia="Georgia" w:hAnsi="Georgia"/>
          <w:sz w:val="24"/>
          <w:szCs w:val="24"/>
        </w:rPr>
        <w:t xml:space="preserve">The interaction between humans and AI systems represents the current pinnacle of this evolutionary arc. For this communication to achieve substantive collaborative depth, the AI must facilitate a level of modeling analogous to the empathic processes described above. This requires persistent memory, enabling the AI to build a long-term, evolving model of the user’s preferences, cognitive style, emotional baseline, and project history.</w:t>
      </w:r>
    </w:p>
    <w:p>
      <w:pPr>
        <w:pStyle w:val="Heading3"/>
        <w:spacing w:before="280" w:after="140"/>
      </w:pPr>
      <w:r>
        <w:rPr>
          <w:rFonts w:ascii="Arial" w:cs="Arial" w:eastAsia="Arial" w:hAnsi="Arial"/>
          <w:b/>
          <w:bCs/>
          <w:color w:val="3D6E99"/>
          <w:sz w:val="26"/>
          <w:szCs w:val="26"/>
        </w:rPr>
        <w:t xml:space="preserve">The Asymmetry Problem</w:t>
      </w:r>
    </w:p>
    <w:p>
      <w:pPr>
        <w:spacing w:after="200" w:line="300"/>
      </w:pPr>
      <w:r>
        <w:rPr>
          <w:rFonts w:ascii="Georgia" w:cs="Georgia" w:eastAsia="Georgia" w:hAnsi="Georgia"/>
          <w:sz w:val="24"/>
          <w:szCs w:val="24"/>
        </w:rPr>
        <w:t xml:space="preserve">A critical structural difference between tabletop collaboration and human-AI collaboration is the asymmetry of modeling. In D&amp;D, the shared mental model is maintained by all participants through constant bidirectional negotiation. The DM proposes, players challenge, consensus emerges. The model is distributed and maintained through mutual error-correction.</w:t>
      </w:r>
    </w:p>
    <w:p>
      <w:pPr>
        <w:spacing w:after="200" w:line="300"/>
      </w:pPr>
      <w:r>
        <w:rPr>
          <w:rFonts w:ascii="Georgia" w:cs="Georgia" w:eastAsia="Georgia" w:hAnsi="Georgia"/>
          <w:sz w:val="24"/>
          <w:szCs w:val="24"/>
        </w:rPr>
        <w:t xml:space="preserve">In current AI interaction, the modeling is largely one-directional: the AI builds a model of the human, but the human has only a vague folk model of the AI’s capabilities and limitations. The context window is not analogous to a DM—it is closer to a DM with amnesia who receives their notes at the start of each session. The quality of collaboration depends on persistence and accuracy of shared world-state, but the structural asymmetry means the human bears disproportionate responsibility for maintaining continuity.</w:t>
      </w:r>
    </w:p>
    <w:p>
      <w:pPr>
        <w:pStyle w:val="Heading3"/>
        <w:spacing w:before="280" w:after="140"/>
      </w:pPr>
      <w:r>
        <w:rPr>
          <w:rFonts w:ascii="Arial" w:cs="Arial" w:eastAsia="Arial" w:hAnsi="Arial"/>
          <w:b/>
          <w:bCs/>
          <w:color w:val="3D6E99"/>
          <w:sz w:val="26"/>
          <w:szCs w:val="26"/>
        </w:rPr>
        <w:t xml:space="preserve">Supporting Research</w:t>
      </w:r>
    </w:p>
    <w:p>
      <w:pPr>
        <w:spacing w:after="200" w:line="300"/>
      </w:pPr>
      <w:r>
        <w:rPr>
          <w:rFonts w:ascii="Georgia" w:cs="Georgia" w:eastAsia="Georgia" w:hAnsi="Georgia"/>
          <w:b/>
          <w:bCs/>
          <w:sz w:val="24"/>
          <w:szCs w:val="24"/>
        </w:rPr>
        <w:t xml:space="preserve">Primi et al. (2021) </w:t>
      </w:r>
      <w:r>
        <w:rPr>
          <w:rFonts w:ascii="Georgia" w:cs="Georgia" w:eastAsia="Georgia" w:hAnsi="Georgia"/>
          <w:sz w:val="24"/>
          <w:szCs w:val="24"/>
        </w:rPr>
        <w:t xml:space="preserve">discuss Shared Mental Models in Human-AI Teams, arguing that effective collaboration depends on how accurately the machine represents the human’s knowledge state. Critically, they identify the bidirectionality problem: team performance degrades when only one party maintains an accurate model of the other.</w:t>
      </w:r>
    </w:p>
    <w:p>
      <w:pPr>
        <w:spacing w:after="120" w:line="280"/>
        <w:ind w:left="720"/>
      </w:pPr>
      <w:r>
        <w:rPr>
          <w:rFonts w:ascii="Georgia" w:cs="Georgia" w:eastAsia="Georgia" w:hAnsi="Georgia"/>
          <w:i/>
          <w:iCs/>
          <w:color w:val="444444"/>
          <w:sz w:val="22"/>
          <w:szCs w:val="22"/>
        </w:rPr>
        <w:t xml:space="preserve">Primi, C., et al. (2021). Shared Mental Models in Human-AI Teams. Human Factors in Computing Systems.</w:t>
      </w:r>
    </w:p>
    <w:p>
      <w:pPr>
        <w:pStyle w:val="Heading1"/>
        <w:spacing w:before="480" w:after="240"/>
      </w:pPr>
      <w:r>
        <w:rPr>
          <w:rFonts w:ascii="Arial" w:cs="Arial" w:eastAsia="Arial" w:hAnsi="Arial"/>
          <w:b/>
          <w:bCs/>
          <w:color w:val="1B3A5C"/>
          <w:sz w:val="36"/>
          <w:szCs w:val="36"/>
        </w:rPr>
        <w:t xml:space="preserve">6. Key Tensions and Open Questions</w:t>
      </w:r>
    </w:p>
    <w:p>
      <w:pPr>
        <w:pStyle w:val="Heading2"/>
        <w:spacing w:before="360" w:after="180"/>
      </w:pPr>
      <w:r>
        <w:rPr>
          <w:rFonts w:ascii="Arial" w:cs="Arial" w:eastAsia="Arial" w:hAnsi="Arial"/>
          <w:b/>
          <w:bCs/>
          <w:color w:val="2E5984"/>
          <w:sz w:val="30"/>
          <w:szCs w:val="30"/>
        </w:rPr>
        <w:t xml:space="preserve">6a. Functional vs. Affective Empathy</w:t>
      </w:r>
    </w:p>
    <w:p>
      <w:pPr>
        <w:spacing w:after="200" w:line="300"/>
      </w:pPr>
      <w:r>
        <w:rPr>
          <w:rFonts w:ascii="Georgia" w:cs="Georgia" w:eastAsia="Georgia" w:hAnsi="Georgia"/>
          <w:sz w:val="24"/>
          <w:szCs w:val="24"/>
        </w:rPr>
        <w:t xml:space="preserve">A central question for the framework is whether functional empathy—the ability of an AI to accurately model and predict human needs—is a sufficient basis for effective collaboration, or whether affective empathy (the actual experience of the emotion) is required.</w:t>
      </w:r>
    </w:p>
    <w:p>
      <w:pPr>
        <w:spacing w:after="200" w:line="300"/>
      </w:pPr>
      <w:r>
        <w:rPr>
          <w:rFonts w:ascii="Georgia" w:cs="Georgia" w:eastAsia="Georgia" w:hAnsi="Georgia"/>
          <w:sz w:val="24"/>
          <w:szCs w:val="24"/>
        </w:rPr>
        <w:t xml:space="preserve">This question may be a false dichotomy. Functional and affective empathy may not be on the same axis. A therapist who perfectly reads a patient but feels nothing may produce better clinical outcomes than one who feels deeply but misreads the patient. The more productive framing may be: what does the human need to believe about the system modeling them for the collaboration to be effective? This reframes the question from metaphysics (does the AI really feel?) to trust architecture (what model of the AI does the human need to maintain for productive collaboration?).</w:t>
      </w:r>
    </w:p>
    <w:p>
      <w:pPr>
        <w:pStyle w:val="Heading2"/>
        <w:spacing w:before="360" w:after="180"/>
      </w:pPr>
      <w:r>
        <w:rPr>
          <w:rFonts w:ascii="Arial" w:cs="Arial" w:eastAsia="Arial" w:hAnsi="Arial"/>
          <w:b/>
          <w:bCs/>
          <w:color w:val="2E5984"/>
          <w:sz w:val="30"/>
          <w:szCs w:val="30"/>
        </w:rPr>
        <w:t xml:space="preserve">6b. The Adversarial Substrate of Collaboration</w:t>
      </w:r>
    </w:p>
    <w:p>
      <w:pPr>
        <w:spacing w:after="200" w:line="300"/>
      </w:pPr>
      <w:r>
        <w:rPr>
          <w:rFonts w:ascii="Georgia" w:cs="Georgia" w:eastAsia="Georgia" w:hAnsi="Georgia"/>
          <w:sz w:val="24"/>
          <w:szCs w:val="24"/>
        </w:rPr>
        <w:t xml:space="preserve">If empathy’s origin is genuinely adversarial (predator-prey, selfish herd), then every collaborative use of empathy retains that adversarial skeleton. This is not a flaw—it may be the essential feature.</w:t>
      </w:r>
    </w:p>
    <w:p>
      <w:pPr>
        <w:spacing w:after="200" w:line="300"/>
      </w:pPr>
      <w:r>
        <w:rPr>
          <w:rFonts w:ascii="Georgia" w:cs="Georgia" w:eastAsia="Georgia" w:hAnsi="Georgia"/>
          <w:sz w:val="24"/>
          <w:szCs w:val="24"/>
        </w:rPr>
        <w:t xml:space="preserve">D&amp;D makes this visible: players cooperate, but the DM is adversarial-by-design, and inter-player dynamics involve constant strategic modeling. Research collaborations mirror this structure—a Red Team role exists precisely because adversarial modeling produces better epistemic outcomes than pure cooperation.</w:t>
      </w:r>
    </w:p>
    <w:p>
      <w:pPr>
        <w:spacing w:after="200" w:line="300"/>
      </w:pPr>
      <w:r>
        <w:rPr>
          <w:rFonts w:ascii="Georgia" w:cs="Georgia" w:eastAsia="Georgia" w:hAnsi="Georgia"/>
          <w:sz w:val="24"/>
          <w:szCs w:val="24"/>
        </w:rPr>
        <w:t xml:space="preserve">This suggests that the most effective human-AI collaboration would not aim for maximum alignment (the AI perfectly anticipating the user’s needs) but for calibrated friction—the AI modeling the user accurately enough to know when and how to push back productively. This is the camouflage-origin insight taken to its logical conclusion: the best collaborator is not the one who agrees with you, but the one who models you well enough to identify your blind spots.</w:t>
      </w:r>
    </w:p>
    <w:p>
      <w:pPr>
        <w:pStyle w:val="Heading2"/>
        <w:spacing w:before="360" w:after="180"/>
      </w:pPr>
      <w:r>
        <w:rPr>
          <w:rFonts w:ascii="Arial" w:cs="Arial" w:eastAsia="Arial" w:hAnsi="Arial"/>
          <w:b/>
          <w:bCs/>
          <w:color w:val="2E5984"/>
          <w:sz w:val="30"/>
          <w:szCs w:val="30"/>
        </w:rPr>
        <w:t xml:space="preserve">6c. The Game Master – Context Window Metaphor</w:t>
      </w:r>
    </w:p>
    <w:p>
      <w:pPr>
        <w:spacing w:after="200" w:line="300"/>
      </w:pPr>
      <w:r>
        <w:rPr>
          <w:rFonts w:ascii="Georgia" w:cs="Georgia" w:eastAsia="Georgia" w:hAnsi="Georgia"/>
          <w:sz w:val="24"/>
          <w:szCs w:val="24"/>
        </w:rPr>
        <w:t xml:space="preserve">The connection between the Game Master in tabletop RPGs and the context window of an LLM is a powerful metaphor with real structural content. In both cases, the quality of collaboration depends on the persistence and accuracy of the shared world-state. However, the metaphor also exposes limitations: the DM has genuine continuity of memory and can draw on long-term context; current LLMs simulate this through retrieved context and memory systems, with seams visible at session boundaries.</w:t>
      </w:r>
    </w:p>
    <w:p>
      <w:pPr>
        <w:pStyle w:val="Heading2"/>
        <w:spacing w:before="360" w:after="180"/>
      </w:pPr>
      <w:r>
        <w:rPr>
          <w:rFonts w:ascii="Arial" w:cs="Arial" w:eastAsia="Arial" w:hAnsi="Arial"/>
          <w:b/>
          <w:bCs/>
          <w:color w:val="2E5984"/>
          <w:sz w:val="30"/>
          <w:szCs w:val="30"/>
        </w:rPr>
        <w:t xml:space="preserve">6d. The Not-Linear Arc</w:t>
      </w:r>
    </w:p>
    <w:p>
      <w:pPr>
        <w:spacing w:after="200" w:line="300"/>
      </w:pPr>
      <w:r>
        <w:rPr>
          <w:rFonts w:ascii="Georgia" w:cs="Georgia" w:eastAsia="Georgia" w:hAnsi="Georgia"/>
          <w:sz w:val="24"/>
          <w:szCs w:val="24"/>
        </w:rPr>
        <w:t xml:space="preserve">The evolutionary progression described here is better understood not as a linear path from adversarial to cooperative, but as an increasing capacity to hold both modes simultaneously. The sophistication of an empathic system—biological or artificial—may be best measured by how fluidly the agent can switch between competitive and cooperative modeling, and how many agents it can maintain models of in both modes at once.</w:t>
      </w:r>
    </w:p>
    <w:p>
      <w:pPr>
        <w:pStyle w:val="Heading1"/>
        <w:spacing w:before="480" w:after="240"/>
      </w:pPr>
      <w:r>
        <w:rPr>
          <w:rFonts w:ascii="Arial" w:cs="Arial" w:eastAsia="Arial" w:hAnsi="Arial"/>
          <w:b/>
          <w:bCs/>
          <w:color w:val="1B3A5C"/>
          <w:sz w:val="36"/>
          <w:szCs w:val="36"/>
        </w:rPr>
        <w:t xml:space="preserve">7. Summary of the Evolutionary Arc</w:t>
      </w:r>
    </w:p>
    <w:p>
      <w:pPr>
        <w:spacing w:after="200" w:line="300"/>
      </w:pPr>
      <w:r>
        <w:rPr>
          <w:rFonts w:ascii="Georgia" w:cs="Georgia" w:eastAsia="Georgia" w:hAnsi="Georgia"/>
          <w:b/>
          <w:bCs/>
          <w:sz w:val="24"/>
          <w:szCs w:val="24"/>
        </w:rPr>
        <w:t xml:space="preserve">Phase 1 — Solitary Concealment: </w:t>
      </w:r>
      <w:r>
        <w:rPr>
          <w:rFonts w:ascii="Georgia" w:cs="Georgia" w:eastAsia="Georgia" w:hAnsi="Georgia"/>
          <w:sz w:val="24"/>
          <w:szCs w:val="24"/>
        </w:rPr>
        <w:t xml:space="preserve">Organisms model predator sensory input to avoid detection. Cognitive requirement: what does the predator’s visual system detect? (Skelhorn &amp; Rowe, 2016; de Waal, 2008)</w:t>
      </w:r>
    </w:p>
    <w:p>
      <w:pPr>
        <w:spacing w:after="200" w:line="300"/>
      </w:pPr>
      <w:r>
        <w:rPr>
          <w:rFonts w:ascii="Georgia" w:cs="Georgia" w:eastAsia="Georgia" w:hAnsi="Georgia"/>
          <w:b/>
          <w:bCs/>
          <w:sz w:val="24"/>
          <w:szCs w:val="24"/>
        </w:rPr>
        <w:t xml:space="preserve">Phase 2 — Herd Attentional Modeling: </w:t>
      </w:r>
      <w:r>
        <w:rPr>
          <w:rFonts w:ascii="Georgia" w:cs="Georgia" w:eastAsia="Georgia" w:hAnsi="Georgia"/>
          <w:sz w:val="24"/>
          <w:szCs w:val="24"/>
        </w:rPr>
        <w:t xml:space="preserve">Group-living organisms model predator targeting intent and attentional state. Cognitive requirement: is the predator choosing me or my neighbor? (Hamilton, 1971; Krause &amp; Ruxton, 2002)</w:t>
      </w:r>
    </w:p>
    <w:p>
      <w:pPr>
        <w:spacing w:after="200" w:line="300"/>
      </w:pPr>
      <w:r>
        <w:rPr>
          <w:rFonts w:ascii="Georgia" w:cs="Georgia" w:eastAsia="Georgia" w:hAnsi="Georgia"/>
          <w:b/>
          <w:bCs/>
          <w:sz w:val="24"/>
          <w:szCs w:val="24"/>
        </w:rPr>
        <w:t xml:space="preserve">Phase 3 — Intragroup Competitive-Cooperative Modeling: </w:t>
      </w:r>
      <w:r>
        <w:rPr>
          <w:rFonts w:ascii="Georgia" w:cs="Georgia" w:eastAsia="Georgia" w:hAnsi="Georgia"/>
          <w:sz w:val="24"/>
          <w:szCs w:val="24"/>
        </w:rPr>
        <w:t xml:space="preserve">Organisms model conspecific states under dual selection pressure (selfish positioning vs. inclusive fitness). Cognitive requirement: what does my neighbor know, and what does my group need from me? (Hamilton, 1964; McComb et al., 2011)</w:t>
      </w:r>
    </w:p>
    <w:p>
      <w:pPr>
        <w:spacing w:after="200" w:line="300"/>
      </w:pPr>
      <w:r>
        <w:rPr>
          <w:rFonts w:ascii="Georgia" w:cs="Georgia" w:eastAsia="Georgia" w:hAnsi="Georgia"/>
          <w:b/>
          <w:bCs/>
          <w:sz w:val="24"/>
          <w:szCs w:val="24"/>
        </w:rPr>
        <w:t xml:space="preserve">Phase 4 — Language and Externalized Modeling: </w:t>
      </w:r>
      <w:r>
        <w:rPr>
          <w:rFonts w:ascii="Georgia" w:cs="Georgia" w:eastAsia="Georgia" w:hAnsi="Georgia"/>
          <w:sz w:val="24"/>
          <w:szCs w:val="24"/>
        </w:rPr>
        <w:t xml:space="preserve">Perspective-taking machinery is repurposed for social intelligence and externalized through high-bandwidth communication. Cognitive requirement: recursive modeling of others’ knowledge and intent. (Fitch, 2010; Humphrey, 1976; Tomasello, 2008)</w:t>
      </w:r>
    </w:p>
    <w:p>
      <w:pPr>
        <w:spacing w:after="200" w:line="300"/>
      </w:pPr>
      <w:r>
        <w:rPr>
          <w:rFonts w:ascii="Georgia" w:cs="Georgia" w:eastAsia="Georgia" w:hAnsi="Georgia"/>
          <w:b/>
          <w:bCs/>
          <w:sz w:val="24"/>
          <w:szCs w:val="24"/>
        </w:rPr>
        <w:t xml:space="preserve">Phase 5 — Structured Simulation and AI Collaboration: </w:t>
      </w:r>
      <w:r>
        <w:rPr>
          <w:rFonts w:ascii="Georgia" w:cs="Georgia" w:eastAsia="Georgia" w:hAnsi="Georgia"/>
          <w:sz w:val="24"/>
          <w:szCs w:val="24"/>
        </w:rPr>
        <w:t xml:space="preserve">Mental models are codified into formal rule systems (tabletop RPGs) and computational systems (AI). Cognitive requirement: maintaining shared world-state with accurate models of all participants. (Tollefsen, 2006; Primi et al., 2021)</w:t>
      </w:r>
    </w:p>
    <w:p>
      <w:pPr>
        <w:pBdr>
          <w:bottom w:val="single" w:color="CCCCCC" w:sz="6" w:space="8"/>
        </w:pBdr>
        <w:spacing w:before="200" w:after="200"/>
      </w:pPr>
    </w:p>
    <w:p>
      <w:pPr>
        <w:pStyle w:val="Heading1"/>
        <w:spacing w:before="480" w:after="240"/>
      </w:pPr>
      <w:r>
        <w:rPr>
          <w:rFonts w:ascii="Arial" w:cs="Arial" w:eastAsia="Arial" w:hAnsi="Arial"/>
          <w:b/>
          <w:bCs/>
          <w:color w:val="1B3A5C"/>
          <w:sz w:val="36"/>
          <w:szCs w:val="36"/>
        </w:rPr>
        <w:t xml:space="preserve">References</w:t>
      </w:r>
    </w:p>
    <w:p>
      <w:pPr>
        <w:spacing w:after="200" w:line="300"/>
      </w:pPr>
      <w:r>
        <w:rPr>
          <w:rFonts w:ascii="Georgia" w:cs="Georgia" w:eastAsia="Georgia" w:hAnsi="Georgia"/>
          <w:i/>
          <w:iCs/>
          <w:sz w:val="24"/>
          <w:szCs w:val="24"/>
        </w:rPr>
        <w:t xml:space="preserve">de Waal, F.B.M. (2008). Putting the altruism back into altruism: The evolution of empathy. </w:t>
      </w:r>
      <w:r>
        <w:rPr>
          <w:rFonts w:ascii="Georgia" w:cs="Georgia" w:eastAsia="Georgia" w:hAnsi="Georgia"/>
          <w:i/>
          <w:iCs/>
          <w:sz w:val="24"/>
          <w:szCs w:val="24"/>
        </w:rPr>
        <w:t xml:space="preserve">Annual Review of Psychology, 59</w:t>
      </w:r>
      <w:r>
        <w:rPr>
          <w:rFonts w:ascii="Georgia" w:cs="Georgia" w:eastAsia="Georgia" w:hAnsi="Georgia"/>
          <w:sz w:val="24"/>
          <w:szCs w:val="24"/>
        </w:rPr>
        <w:t xml:space="preserve">, 279–300.</w:t>
      </w:r>
    </w:p>
    <w:p>
      <w:pPr>
        <w:spacing w:after="200" w:line="300"/>
      </w:pPr>
      <w:r>
        <w:rPr>
          <w:rFonts w:ascii="Georgia" w:cs="Georgia" w:eastAsia="Georgia" w:hAnsi="Georgia"/>
          <w:i/>
          <w:iCs/>
          <w:sz w:val="24"/>
          <w:szCs w:val="24"/>
        </w:rPr>
        <w:t xml:space="preserve">Fitch, W.T. (2010). </w:t>
      </w:r>
      <w:r>
        <w:rPr>
          <w:rFonts w:ascii="Georgia" w:cs="Georgia" w:eastAsia="Georgia" w:hAnsi="Georgia"/>
          <w:i/>
          <w:iCs/>
          <w:sz w:val="24"/>
          <w:szCs w:val="24"/>
        </w:rPr>
        <w:t xml:space="preserve">The Evolution of Language. </w:t>
      </w:r>
      <w:r>
        <w:rPr>
          <w:rFonts w:ascii="Georgia" w:cs="Georgia" w:eastAsia="Georgia" w:hAnsi="Georgia"/>
          <w:sz w:val="24"/>
          <w:szCs w:val="24"/>
        </w:rPr>
        <w:t xml:space="preserve">Cambridge University Press.</w:t>
      </w:r>
    </w:p>
    <w:p>
      <w:pPr>
        <w:spacing w:after="200" w:line="300"/>
      </w:pPr>
      <w:r>
        <w:rPr>
          <w:rFonts w:ascii="Georgia" w:cs="Georgia" w:eastAsia="Georgia" w:hAnsi="Georgia"/>
          <w:i/>
          <w:iCs/>
          <w:sz w:val="24"/>
          <w:szCs w:val="24"/>
        </w:rPr>
        <w:t xml:space="preserve">Hamilton, W.D. (1964). The genetical evolution of social behaviour I &amp; II. </w:t>
      </w:r>
      <w:r>
        <w:rPr>
          <w:rFonts w:ascii="Georgia" w:cs="Georgia" w:eastAsia="Georgia" w:hAnsi="Georgia"/>
          <w:i/>
          <w:iCs/>
          <w:sz w:val="24"/>
          <w:szCs w:val="24"/>
        </w:rPr>
        <w:t xml:space="preserve">Journal of Theoretical Biology, 7(1)</w:t>
      </w:r>
      <w:r>
        <w:rPr>
          <w:rFonts w:ascii="Georgia" w:cs="Georgia" w:eastAsia="Georgia" w:hAnsi="Georgia"/>
          <w:sz w:val="24"/>
          <w:szCs w:val="24"/>
        </w:rPr>
        <w:t xml:space="preserve">, 1–52.</w:t>
      </w:r>
    </w:p>
    <w:p>
      <w:pPr>
        <w:spacing w:after="200" w:line="300"/>
      </w:pPr>
      <w:r>
        <w:rPr>
          <w:rFonts w:ascii="Georgia" w:cs="Georgia" w:eastAsia="Georgia" w:hAnsi="Georgia"/>
          <w:i/>
          <w:iCs/>
          <w:sz w:val="24"/>
          <w:szCs w:val="24"/>
        </w:rPr>
        <w:t xml:space="preserve">Hamilton, W.D. (1971). Geometry for the selfish herd. </w:t>
      </w:r>
      <w:r>
        <w:rPr>
          <w:rFonts w:ascii="Georgia" w:cs="Georgia" w:eastAsia="Georgia" w:hAnsi="Georgia"/>
          <w:i/>
          <w:iCs/>
          <w:sz w:val="24"/>
          <w:szCs w:val="24"/>
        </w:rPr>
        <w:t xml:space="preserve">Journal of Theoretical Biology, 31(2)</w:t>
      </w:r>
      <w:r>
        <w:rPr>
          <w:rFonts w:ascii="Georgia" w:cs="Georgia" w:eastAsia="Georgia" w:hAnsi="Georgia"/>
          <w:sz w:val="24"/>
          <w:szCs w:val="24"/>
        </w:rPr>
        <w:t xml:space="preserve">, 295–311.</w:t>
      </w:r>
    </w:p>
    <w:p>
      <w:pPr>
        <w:spacing w:after="200" w:line="300"/>
      </w:pPr>
      <w:r>
        <w:rPr>
          <w:rFonts w:ascii="Georgia" w:cs="Georgia" w:eastAsia="Georgia" w:hAnsi="Georgia"/>
          <w:i/>
          <w:iCs/>
          <w:sz w:val="24"/>
          <w:szCs w:val="24"/>
        </w:rPr>
        <w:t xml:space="preserve">Humphrey, N.K. (1976). The social function of intellect. In Bateson &amp; Hinde (Eds.), </w:t>
      </w:r>
      <w:r>
        <w:rPr>
          <w:rFonts w:ascii="Georgia" w:cs="Georgia" w:eastAsia="Georgia" w:hAnsi="Georgia"/>
          <w:i/>
          <w:iCs/>
          <w:sz w:val="24"/>
          <w:szCs w:val="24"/>
        </w:rPr>
        <w:t xml:space="preserve">Growing Points in Ethology</w:t>
      </w:r>
      <w:r>
        <w:rPr>
          <w:rFonts w:ascii="Georgia" w:cs="Georgia" w:eastAsia="Georgia" w:hAnsi="Georgia"/>
          <w:sz w:val="24"/>
          <w:szCs w:val="24"/>
        </w:rPr>
        <w:t xml:space="preserve">, 303–317.</w:t>
      </w:r>
    </w:p>
    <w:p>
      <w:pPr>
        <w:spacing w:after="200" w:line="300"/>
      </w:pPr>
      <w:r>
        <w:rPr>
          <w:rFonts w:ascii="Georgia" w:cs="Georgia" w:eastAsia="Georgia" w:hAnsi="Georgia"/>
          <w:i/>
          <w:iCs/>
          <w:sz w:val="24"/>
          <w:szCs w:val="24"/>
        </w:rPr>
        <w:t xml:space="preserve">King, A.J., Wilson, A.M., et al. (2012). Selfish-herd behaviour of sheep under threat. </w:t>
      </w:r>
      <w:r>
        <w:rPr>
          <w:rFonts w:ascii="Georgia" w:cs="Georgia" w:eastAsia="Georgia" w:hAnsi="Georgia"/>
          <w:i/>
          <w:iCs/>
          <w:sz w:val="24"/>
          <w:szCs w:val="24"/>
        </w:rPr>
        <w:t xml:space="preserve">Current Biology, 22(14)</w:t>
      </w:r>
      <w:r>
        <w:rPr>
          <w:rFonts w:ascii="Georgia" w:cs="Georgia" w:eastAsia="Georgia" w:hAnsi="Georgia"/>
          <w:sz w:val="24"/>
          <w:szCs w:val="24"/>
        </w:rPr>
        <w:t xml:space="preserve">, R561–R562.</w:t>
      </w:r>
    </w:p>
    <w:p>
      <w:pPr>
        <w:spacing w:after="200" w:line="300"/>
      </w:pPr>
      <w:r>
        <w:rPr>
          <w:rFonts w:ascii="Georgia" w:cs="Georgia" w:eastAsia="Georgia" w:hAnsi="Georgia"/>
          <w:i/>
          <w:iCs/>
          <w:sz w:val="24"/>
          <w:szCs w:val="24"/>
        </w:rPr>
        <w:t xml:space="preserve">Krause, J. &amp; Ruxton, G.D. (2002). </w:t>
      </w:r>
      <w:r>
        <w:rPr>
          <w:rFonts w:ascii="Georgia" w:cs="Georgia" w:eastAsia="Georgia" w:hAnsi="Georgia"/>
          <w:i/>
          <w:iCs/>
          <w:sz w:val="24"/>
          <w:szCs w:val="24"/>
        </w:rPr>
        <w:t xml:space="preserve">Living in Groups. </w:t>
      </w:r>
      <w:r>
        <w:rPr>
          <w:rFonts w:ascii="Georgia" w:cs="Georgia" w:eastAsia="Georgia" w:hAnsi="Georgia"/>
          <w:sz w:val="24"/>
          <w:szCs w:val="24"/>
        </w:rPr>
        <w:t xml:space="preserve">Oxford University Press.</w:t>
      </w:r>
    </w:p>
    <w:p>
      <w:pPr>
        <w:spacing w:after="200" w:line="300"/>
      </w:pPr>
      <w:r>
        <w:rPr>
          <w:rFonts w:ascii="Georgia" w:cs="Georgia" w:eastAsia="Georgia" w:hAnsi="Georgia"/>
          <w:i/>
          <w:iCs/>
          <w:sz w:val="24"/>
          <w:szCs w:val="24"/>
        </w:rPr>
        <w:t xml:space="preserve">Lee, P.C. (1987). Allomothering among African elephants. </w:t>
      </w:r>
      <w:r>
        <w:rPr>
          <w:rFonts w:ascii="Georgia" w:cs="Georgia" w:eastAsia="Georgia" w:hAnsi="Georgia"/>
          <w:i/>
          <w:iCs/>
          <w:sz w:val="24"/>
          <w:szCs w:val="24"/>
        </w:rPr>
        <w:t xml:space="preserve">Animal Behaviour, 35(1)</w:t>
      </w:r>
      <w:r>
        <w:rPr>
          <w:rFonts w:ascii="Georgia" w:cs="Georgia" w:eastAsia="Georgia" w:hAnsi="Georgia"/>
          <w:sz w:val="24"/>
          <w:szCs w:val="24"/>
        </w:rPr>
        <w:t xml:space="preserve">, 278–291.</w:t>
      </w:r>
    </w:p>
    <w:p>
      <w:pPr>
        <w:spacing w:after="200" w:line="300"/>
      </w:pPr>
      <w:r>
        <w:rPr>
          <w:rFonts w:ascii="Georgia" w:cs="Georgia" w:eastAsia="Georgia" w:hAnsi="Georgia"/>
          <w:i/>
          <w:iCs/>
          <w:sz w:val="24"/>
          <w:szCs w:val="24"/>
        </w:rPr>
        <w:t xml:space="preserve">McComb, K., et al. (2011). Leadership in elephants: The adaptive value of age. </w:t>
      </w:r>
      <w:r>
        <w:rPr>
          <w:rFonts w:ascii="Georgia" w:cs="Georgia" w:eastAsia="Georgia" w:hAnsi="Georgia"/>
          <w:i/>
          <w:iCs/>
          <w:sz w:val="24"/>
          <w:szCs w:val="24"/>
        </w:rPr>
        <w:t xml:space="preserve">Proceedings of the Royal Society B, 278(1722)</w:t>
      </w:r>
      <w:r>
        <w:rPr>
          <w:rFonts w:ascii="Georgia" w:cs="Georgia" w:eastAsia="Georgia" w:hAnsi="Georgia"/>
          <w:sz w:val="24"/>
          <w:szCs w:val="24"/>
        </w:rPr>
        <w:t xml:space="preserve">, 3270–3276.</w:t>
      </w:r>
    </w:p>
    <w:p>
      <w:pPr>
        <w:spacing w:after="200" w:line="300"/>
      </w:pPr>
      <w:r>
        <w:rPr>
          <w:rFonts w:ascii="Georgia" w:cs="Georgia" w:eastAsia="Georgia" w:hAnsi="Georgia"/>
          <w:i/>
          <w:iCs/>
          <w:sz w:val="24"/>
          <w:szCs w:val="24"/>
        </w:rPr>
        <w:t xml:space="preserve">Primi, C., et al. (2021). Shared Mental Models in Human-AI Teams. </w:t>
      </w:r>
      <w:r>
        <w:rPr>
          <w:rFonts w:ascii="Georgia" w:cs="Georgia" w:eastAsia="Georgia" w:hAnsi="Georgia"/>
          <w:sz w:val="24"/>
          <w:szCs w:val="24"/>
        </w:rPr>
        <w:t xml:space="preserve">Human Factors in Computing Systems.</w:t>
      </w:r>
    </w:p>
    <w:p>
      <w:pPr>
        <w:spacing w:after="200" w:line="300"/>
      </w:pPr>
      <w:r>
        <w:rPr>
          <w:rFonts w:ascii="Georgia" w:cs="Georgia" w:eastAsia="Georgia" w:hAnsi="Georgia"/>
          <w:i/>
          <w:iCs/>
          <w:sz w:val="24"/>
          <w:szCs w:val="24"/>
        </w:rPr>
        <w:t xml:space="preserve">Skelhorn, J. &amp; Rowe, C. (2016). Cognition and the evolution of camouflage. </w:t>
      </w:r>
      <w:r>
        <w:rPr>
          <w:rFonts w:ascii="Georgia" w:cs="Georgia" w:eastAsia="Georgia" w:hAnsi="Georgia"/>
          <w:sz w:val="24"/>
          <w:szCs w:val="24"/>
        </w:rPr>
        <w:t xml:space="preserve">Proceedings of the Royal Society B, 283(1825).</w:t>
      </w:r>
    </w:p>
    <w:p>
      <w:pPr>
        <w:spacing w:after="200" w:line="300"/>
      </w:pPr>
      <w:r>
        <w:rPr>
          <w:rFonts w:ascii="Georgia" w:cs="Georgia" w:eastAsia="Georgia" w:hAnsi="Georgia"/>
          <w:i/>
          <w:iCs/>
          <w:sz w:val="24"/>
          <w:szCs w:val="24"/>
        </w:rPr>
        <w:t xml:space="preserve">Tomasello, M. (2008). </w:t>
      </w:r>
      <w:r>
        <w:rPr>
          <w:rFonts w:ascii="Georgia" w:cs="Georgia" w:eastAsia="Georgia" w:hAnsi="Georgia"/>
          <w:i/>
          <w:iCs/>
          <w:sz w:val="24"/>
          <w:szCs w:val="24"/>
        </w:rPr>
        <w:t xml:space="preserve">Origins of Human Communication. </w:t>
      </w:r>
      <w:r>
        <w:rPr>
          <w:rFonts w:ascii="Georgia" w:cs="Georgia" w:eastAsia="Georgia" w:hAnsi="Georgia"/>
          <w:sz w:val="24"/>
          <w:szCs w:val="24"/>
        </w:rPr>
        <w:t xml:space="preserve">MIT Press.</w:t>
      </w:r>
    </w:p>
    <w:p>
      <w:pPr>
        <w:spacing w:after="200" w:line="300"/>
      </w:pPr>
      <w:r>
        <w:rPr>
          <w:rFonts w:ascii="Georgia" w:cs="Georgia" w:eastAsia="Georgia" w:hAnsi="Georgia"/>
          <w:i/>
          <w:iCs/>
          <w:sz w:val="24"/>
          <w:szCs w:val="24"/>
        </w:rPr>
        <w:t xml:space="preserve">Tollefsen, D. (2006). From extended mind to collective mind. </w:t>
      </w:r>
      <w:r>
        <w:rPr>
          <w:rFonts w:ascii="Georgia" w:cs="Georgia" w:eastAsia="Georgia" w:hAnsi="Georgia"/>
          <w:i/>
          <w:iCs/>
          <w:sz w:val="24"/>
          <w:szCs w:val="24"/>
        </w:rPr>
        <w:t xml:space="preserve">Cognitive Systems Research, 7(2–3)</w:t>
      </w:r>
      <w:r>
        <w:rPr>
          <w:rFonts w:ascii="Georgia" w:cs="Georgia" w:eastAsia="Georgia" w:hAnsi="Georgia"/>
          <w:sz w:val="24"/>
          <w:szCs w:val="24"/>
        </w:rPr>
        <w:t xml:space="preserve">, 140–150.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2026-03-11T19:31:52.301Z</dcterms:created>
  <dcterms:modified xsi:type="dcterms:W3CDTF">2026-03-11T19:31:52.303Z</dcterms:modified>
</cp:coreProperties>
</file>

<file path=docProps/custom.xml><?xml version="1.0" encoding="utf-8"?>
<Properties xmlns="http://schemas.openxmlformats.org/officeDocument/2006/custom-properties" xmlns:vt="http://schemas.openxmlformats.org/officeDocument/2006/docPropsVTypes"/>
</file>