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№2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Разработка сетевого интерфейса системы управления базой данных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доцент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Архипова А. Б.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sz w:val="28"/>
          <w:szCs w:val="28"/>
          <w:rtl w:val="0"/>
        </w:rPr>
        <w:t xml:space="preserve"> Требуется реализовать сетевой интерфейс для СУБД из практики 1.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приложения из первой практики СУБД должна ожидать соединение по протоколу tcp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необходимо позаботится о блокировках на структуре БД если используются потоки или процессы.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Модули программы</w:t>
      </w:r>
    </w:p>
    <w:p w:rsidR="00000000" w:rsidDel="00000000" w:rsidP="00000000" w:rsidRDefault="00000000" w:rsidRPr="00000000" w14:paraId="00000024">
      <w:pPr>
        <w:pStyle w:val="Heading2"/>
        <w:spacing w:after="0" w:before="0" w:line="240" w:lineRule="auto"/>
        <w:jc w:val="both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network.h: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"includes.h"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"menu.h"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7432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идентификатор сокетов сервера и нового(для взаимодействия)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информация о адресе сервера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переменная для настройки сокета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создания сокета сервера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прослушивания и принятия входящих соединений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ф-ия обработки запроса от клиента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"../src/network.cpp"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6bfv50i2fn97" w:id="2"/>
      <w:bookmarkEnd w:id="2"/>
      <w:r w:rsidDel="00000000" w:rsidR="00000000" w:rsidRPr="00000000">
        <w:rPr>
          <w:rtl w:val="0"/>
        </w:rPr>
        <w:t xml:space="preserve">network.cpp: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"../include/network.h"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создание TCP-сокета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создания сокета!"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Настройка опции сокета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setsockopt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SO_REUSEADDR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установки опции сокета"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установка адреса и порта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преобразование порта в сетевой порядок байт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семейство адресов (IPv 4)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sin_addr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INADDR_ANY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привязка к любому адресу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привязка сокета к адресу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привязки сокета!"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прослушивание входящих соединений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прослушивания!"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"Сервер запущен. Ожидание подключения на порту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принятие входящего соединения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socklen_t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принятия соединения!"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"Клиент подключен"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обработка запроса клиента в отдельном потоке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procOfReq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клиент отключился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"Клиент отключился, ожидание нового подключения..."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lock_guard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отправка ответа клиенту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240" w:lineRule="auto"/>
        <w:rPr/>
      </w:pPr>
      <w:bookmarkStart w:colFirst="0" w:colLast="0" w:name="_36fp69yfqh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line="240" w:lineRule="auto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main cpp: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"../include/network.h"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carshop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jc w:val="center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№2 я познакомился с понятием сетевого подключения, интернет протоколы. Научился реализовывать свой собственный сетевой интерфейс.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2kurs-pra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