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CCE FRAMEWORK</w:t>
      </w:r>
    </w:p>
    <w:p>
      <w:pPr>
        <w:spacing w:before="120" w:after="120"/>
        <w:jc w:val="center"/>
      </w:pPr>
      <w:r>
        <w:rPr>
          <w:rFonts w:ascii="Arial" w:cs="Arial" w:eastAsia="Arial" w:hAnsi="Arial"/>
          <w:b w:val="false"/>
          <w:bCs w:val="false"/>
          <w:color w:val="E94560"/>
          <w:sz w:val="36"/>
          <w:szCs w:val="36"/>
        </w:rPr>
        <w:t xml:space="preserve">GENERIC DEVELOPMENT PLAN</w:t>
      </w:r>
    </w:p>
    <w:p>
      <w:pPr>
        <w:pBdr>
          <w:bottom w:val="single" w:color="E94560" w:sz="6" w:space="1"/>
        </w:pBdr>
        <w:spacing w:before="80" w:after="200"/>
        <w:jc w:val="center"/>
      </w:pPr>
    </w:p>
    <w:p>
      <w:pPr>
        <w:spacing w:before="200" w:after="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475467"/>
          <w:sz w:val="28"/>
          <w:szCs w:val="28"/>
        </w:rPr>
        <w:t xml:space="preserve">Cascade Compounding Engine</w:t>
      </w:r>
    </w:p>
    <w:p>
      <w:pPr>
        <w:jc w:val="center"/>
      </w:pPr>
      <w:r>
        <w:rPr>
          <w:rFonts w:ascii="Arial" w:cs="Arial" w:eastAsia="Arial" w:hAnsi="Arial"/>
          <w:color w:val="475467"/>
          <w:sz w:val="22"/>
          <w:szCs w:val="22"/>
        </w:rPr>
        <w:t xml:space="preserve">A repeatable, five-step system for researching, building,</w:t>
      </w:r>
    </w:p>
    <w:p>
      <w:pPr>
        <w:spacing w:after="600"/>
        <w:jc w:val="center"/>
      </w:pPr>
      <w:r>
        <w:rPr>
          <w:rFonts w:ascii="Arial" w:cs="Arial" w:eastAsia="Arial" w:hAnsi="Arial"/>
          <w:color w:val="475467"/>
          <w:sz w:val="22"/>
          <w:szCs w:val="22"/>
        </w:rPr>
        <w:t xml:space="preserve">testing and deploying any CCE-class algorithmic trader.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0D5DD"/>
          <w:sz w:val="18"/>
          <w:szCs w:val="18"/>
        </w:rPr>
        <w:t xml:space="preserve">VERSION 1.0  ·  CONFIDENTIAL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Introduction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Cascade Compounding Engine (CCE) Framework is a disciplined, repeatable system for researching, designing, testing, and deploying algorithmic trading strategies that exploit predictable temporal capital-flow patterns in markets.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generic five-step development plan that applies to every CCE-class trader, regardless of the underlying asset class, market, or temporal signature being exploited. Follow this plan sequentially for every new strategy.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The Five Steps at a Glance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60"/>
        <w:gridCol w:w="2520"/>
      </w:tblGrid>
      <w:tr>
        <w:tc>
          <w:tcPr>
            <w:tcW w:type="dxa" w:w="10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252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Definition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universe &amp; hypothesis doc</w:t>
            </w:r>
          </w:p>
        </w:tc>
        <w:tc>
          <w:tcPr>
            <w:tcW w:type="dxa" w:w="2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market am I exploiting?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Gathering &amp; Report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10-year dataset + analytics report</w:t>
            </w:r>
          </w:p>
        </w:tc>
        <w:tc>
          <w:tcPr>
            <w:tcW w:type="dxa" w:w="2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does the raw data tell us?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&amp; Pattern Analysis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map + temporal delay metrics</w:t>
            </w:r>
          </w:p>
        </w:tc>
        <w:tc>
          <w:tcPr>
            <w:tcW w:type="dxa" w:w="2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patterns repeat reliably?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Strategy Generation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Coded strategy with rules &amp; signals</w:t>
            </w:r>
          </w:p>
        </w:tc>
        <w:tc>
          <w:tcPr>
            <w:tcW w:type="dxa" w:w="2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do I exploit those patterns?</w:t>
            </w:r>
          </w:p>
        </w:tc>
      </w:tr>
      <w:tr>
        <w:tc>
          <w:tcPr>
            <w:tcW w:type="dxa" w:w="1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Backtest &amp; Refinement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Validated strategy + metrics card</w:t>
            </w:r>
          </w:p>
        </w:tc>
        <w:tc>
          <w:tcPr>
            <w:tcW w:type="dxa" w:w="25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it hold up out-of-sample?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Core Principle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step has a defined input, a defined output, and a clear accept/reject gate before proceeding.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step must be fully complete before moving to the next. Do not skip or merge steps.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outputs are versioned and stored for auditability and future refinement cycles.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D5D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Target Definition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D5DD"/>
                <w:sz w:val="20"/>
                <w:szCs w:val="20"/>
              </w:rPr>
              <w:t xml:space="preserve">Define exactly what market, asset, and hypothesis the strategy will exploit.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 Purpose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CCE strategy must begin with a precisely written hypothesis. Vague targets produce vague strategies. This step locks the scope so that all downstream work is focused and measurable.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Universe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complete, exhaustive list of instruments the strategy may trade (e.g. BTC, ETH, SOL, top-50 alts by market cap).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 Scope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Exchange(s), trading pairs, and quote currency (e.g. USD, USDT).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Temporal Hypothesis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written, falsifiable statement of the time-based pattern the strategy exploits (e.g. 'Large-cap alts lag BTC by 3–7 days in bull markets.').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Map Draft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preliminary sketch of the market states the strategy will navigate (e.g. Dormant, Ignition, Cascade, Exit).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acceptable performance metrics (e.g. Sharpe &gt; 1.5, Max Drawdown &lt; 25%, CAGR &gt; 40%).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Write the temporal hypothesis in one sentence. It must be falsifiable.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List every asset in the universe with its rationale for inclusion.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Define the time window for historical research (standard: 10 years back from today).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Draft a rough state map — at minimum 3 states: Risk-Off, Transition, Risk-On.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Define the minimum performance thresholds that would make this strategy worth deploying.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1.4  Gate: Accept to Proceed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Step 1 Gate Criteria — all must be true before proceeding to Step 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Hypothesis is written in one clear, testable sentence.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Asset universe is fully enumerated.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criteria are numerically defined.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preliminary state map draft exists (even if rough).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D5D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Data Gathering &amp; Report Generation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D5DD"/>
                <w:sz w:val="20"/>
                <w:szCs w:val="20"/>
              </w:rPr>
              <w:t xml:space="preserve">Collect 10 years of market data and produce a structured analytics report.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 Purpose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any strategy logic is written, you must understand what the raw data actually says. This step produces an objective, unannotated report of price, volume, momentum, and sentiment data — free of any strategy bias.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OHLCV Price Data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and hourly candles for all assets in the universe. Minimum 10 years. Source: exchange APIs or aggregators (e.g. CoinGecko, Binance, Yahoo Finance).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Volume Data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On-chain and exchange volume. Distinguish spot from derivatives volume where possible.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Momentum Indicators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Pre-compute: 20-day SMA, 50-day SMA, 200-day SMA, RSI-14, MACD (12/26/9), Bollinger Bands (20, 2σ).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Sentiment Data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Fear &amp; Greed Index (daily, 10-year history). Social volume proxies where available.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Macro Signals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VIX index, DXY (US Dollar Index), BTC dominance.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Correlation Matrix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Rolling 30-day and 90-day correlation between all assets in the universe.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 Program Structure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data-gathering program must be modular and reproducible. The standard structure is:</w:t>
      </w:r>
    </w:p>
    <w:p>
      <w:pPr>
        <w:spacing w:before="60" w:after="0"/>
      </w:pPr>
      <w:r>
        <w:t xml:space="preserve"/>
      </w:r>
    </w:p>
    <w:p>
      <w:pPr>
        <w:shd w:fill="1A1A2E" w:val="clear"/>
        <w:spacing w:before="80" w:after="80"/>
        <w:ind w:left="360"/>
      </w:pPr>
      <w:r>
        <w:rPr>
          <w:rFonts w:ascii="Courier New" w:cs="Courier New" w:eastAsia="Courier New" w:hAnsi="Courier New"/>
          <w:color w:val="E94560"/>
          <w:sz w:val="18"/>
          <w:szCs w:val="18"/>
        </w:rPr>
        <w:t xml:space="preserve">data_gatherer/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config.py          # Asset list, date range, API keys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fetch_price.py     # OHLCV download &amp; normalisation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fetch_sentiment.py # Fear &amp; Greed, social volume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fetch_macro.py     # VIX, DXY, BTC dominance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indicators.py      # Compute all technical indicators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correlations.py    # Rolling correlation matrices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report_builder.py  # Aggregate all data → report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└── main.py            # Entry point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2.4  Report Sections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generated report must contain the following sections in order: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Executive Summary — high-level statistics for each asset (CAGR, max drawdown, average annual volatility).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Price History Charts — log-scale price chart per asset, full 10-year window.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Momentum Snapshots — SMA overlays, RSI distribution histograms.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Sentiment Timeline — Fear &amp; Greed over time, annotated with major bull/bear events.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Correlation Analysis — heatmap of rolling correlations, with peaks and troughs annotated.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Temporal Lag Analysis — cross-correlation analysis between all asset pairs at lags of 1–30 days.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Drawdown Analysis — top-10 drawdown events per asset, with duration and recovery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Raw Data Export — CSV/Parquet files for all computed data series.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2.5  Gate: Accept to Proceed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Step 2 Gate Criteria — all must be true before proceeding to Step 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covers the full 10-year window with no gaps greater than 7 days.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indicators are computed and validated (spot-check 10 random data points).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PDF generated and reviewed — no anomalous spikes or data errors.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Temporal lag cross-correlation section confirms at least one lag with |correlation| &gt; 0.4.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D5D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State &amp; Pattern Analysis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D5DD"/>
                <w:sz w:val="20"/>
                <w:szCs w:val="20"/>
              </w:rPr>
              <w:t xml:space="preserve">Identify repeating market states and measure temporal delays from the report.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 Purpose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report generated in Step 2 is objective data. Step 3 is where human analysis transforms that data into a structural understanding of the market's state machine and its temporal signature. This is the intellectual core of the CCE method.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 Identifying Market States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the full report with the following questions: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is capital NOT in the market?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Extended periods of low volume, sustained Fear &amp; Greed &lt; 20, flat or declining prices across all assets.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does capital first enter?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 volume spike, F&amp;G inflection from extreme fear. This defines the Transition / Ignition state entry.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does capital rotate?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 price stalls or consolidates while ETH/alts accelerate. Cross-correlation lag peak in the data.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does momentum peak?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Small-cap volume and price velocity maximum. F&amp;G &gt; 75. This defines the Euphoria / Cascade-2 window.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does capital exit?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Rapid F&amp;G collapse, VIX spike, high volume on down days. Emergency Exit trigger.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 Measuring Temporal Delays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market cycle identified in the data: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Record the date of BTC's initial breakout above its 20-day SMA.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Record the date large-cap alts (ETH, SOL) begin their primary move.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Calculate the lag in days between BTC breakout and large-cap alt breakout.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Record the date small/mid-cap alts begin their primary move.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Calculate the lag in days between BTC breakout and small-cap alt breakout.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Record these lags for every identifiable bull cycle in the 10-year window.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Compute the mean, median, and standard deviation of each lag.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result is a Temporal Delay Profile specific to this asset universe: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 Type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| Median | Std Dev | Confidence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 → Large-Cap Lag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[X] days  |  [X] days  |  [X] days  |  High / Medium / Low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 → Small-Cap Lag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[X] days  |  [X] days  |  [X] days  |  High / Medium / Low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Peak → Crash Lag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[X] days  |  [X] days  |  [X] days  |  High / Medium / Low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3.4  State Map Finalisation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Using the identified patterns, finalise the state machine: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Name each state clearly (e.g. DORMANT, ANCHOR, IGNITION, CASCADE_1, CASCADE_2, SPILLWAY, EXTRACTION).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Define the quantitative entry condition for each state (F&amp;G levels, SMA relationships, lag signals).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Define the quantitative exit condition for each 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Define the target asset allocation for each 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 any state that was theorised but NOT supported by the data — these are excluded.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3.5  Gate: Accept to Proceed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Step 3 Gate Criteria — all must be true before proceeding to Step 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minimum of 3 full market cycles have been analysed.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Temporal delays are measured with statistical confidence (n ≥ 3 observations per lag).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state has a clear, numeric entry and exit condition.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state map is documented and signed off.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D5D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Strategy Generation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D5DD"/>
                <w:sz w:val="20"/>
                <w:szCs w:val="20"/>
              </w:rPr>
              <w:t xml:space="preserve">Translate the state map into a fully coded, parameterised trading strategy.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 Purpose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 converts the analytical findings of Step 3 into executable code. The strategy must be fully deterministic — given the same inputs it must always produce the same outputs. No manual overrides.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 Strategy Architecture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CCE strategy is built as a state machine with the following components:</w:t>
      </w:r>
    </w:p>
    <w:p>
      <w:pPr>
        <w:spacing w:before="60" w:after="0"/>
      </w:pPr>
      <w:r>
        <w:t xml:space="preserve"/>
      </w:r>
    </w:p>
    <w:p>
      <w:pPr>
        <w:shd w:fill="1A1A2E" w:val="clear"/>
        <w:spacing w:before="80" w:after="80"/>
        <w:ind w:left="360"/>
      </w:pPr>
      <w:r>
        <w:rPr>
          <w:rFonts w:ascii="Courier New" w:cs="Courier New" w:eastAsia="Courier New" w:hAnsi="Courier New"/>
          <w:color w:val="E94560"/>
          <w:sz w:val="18"/>
          <w:szCs w:val="18"/>
        </w:rPr>
        <w:t xml:space="preserve">strategy/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config.py           # All parameters (F&amp;G thresholds, lag days, allocations)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state_machine.py    # Core: state transitions, entry/exit logic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signals.py          # Indicator computation &amp; temporal lag signals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portfolio.py        # Allocation &amp; rebalancing execution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risk.py             # Position sizing, stop conditions, drawdown limits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├── execution.py        # Order generation (paper or live)</w:t>
      </w:r>
      <w:r>
        <w:rPr>
          <w:rFonts w:ascii="Courier New" w:cs="Courier New" w:eastAsia="Courier New" w:hAnsi="Courier New"/>
          <w:color w:val="E94560"/>
          <w:sz w:val="18"/>
          <w:szCs w:val="18"/>
        </w:rPr>
        <w:br/>
        <w:t xml:space="preserve">  └── main.py             # Main loop (run daily or on new candle close)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 Required Strategy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all states from Step 3. Each state checks its entry condition every cycle. Transitions are logged with timestamp and reason.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Temporal Signals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btc_was_strong_Nd_ago(N) for each lag identified in Step 3. Uses SMA comparison at N-day lookback.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Allocation Rules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Define target portfolio weights per state. Weights must sum to 100%. Cash (stablecoin) is a valid allocation.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/ Exit Logic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entries and exits are triggered by indicator conditions — never by price targets or manual decision.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Controls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single-asset weight. Max drawdown circuit breaker. Emergency exit trigger (maps to EXTRACTION state).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Logging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state transition is logged: from-state, to-state, trigger condition, timestamp, portfolio value at transition.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 Parameterisation Standards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variable values must be in the config file — never hard-coded in logic files. This is mandatory. Parameters include: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Fear &amp; Greed thresholds for each state transition.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Temporal lag days (e.g. lag_btc_to_largecap = 3).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 window lengths (e.g. sma_short = 20, sma_long = 200).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weights per state (e.g. cascade_1_eth_weight = 0.70).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parameters (e.g. max_drawdown_pct = 0.25, emergency_exit_drop_pct = 0.20).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4.5  Gate: Accept to Proceed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Step 4 Gate Criteria — all must be true before proceeding to Step 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Strategy runs end-to-end without errors on the 10-year dataset.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state transitions are logged and inspectable.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parameters are in config.py — zero hard-coded values in logic files.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Strategy produces trade logs with entry price, exit price, position size, and state label.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D5DD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2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Backtest, Refinement &amp; Sign-Off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D5DD"/>
                <w:sz w:val="20"/>
                <w:szCs w:val="20"/>
              </w:rPr>
              <w:t xml:space="preserve">Validate the strategy against historic data, refine parameters, and produce a final metrics card.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 Purpose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strategy that looks good on paper must prove itself in simulation before any capital is committed. Step 5 is a rigorous, structured test process that includes out-of-sample validation and parameter sensitivity analysis.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 Backtest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Phase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Window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In-Sample (IS)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Years 1–7 of the dataset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Fit and calibrate parameters.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Out-of-Sample (OOS)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Years 8–10 of the dataset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that the strategy generalises.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Walk-Forward (WF)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Rolling 1-year windows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robustness across different market regimes.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Specific crash periods only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the EXTRACTION state and drawdown controls.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 Required Performance Metrics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metrics must be computed and recorded for both IS and OOS periods: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Acceptable Threshold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CAGR (Compound Annual Growth Rate)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30% (OOS)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1.5 (OOS)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Drawdown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30% (OOS)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Calmar Ratio (CAGR / Max DD)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1.0 (OOS)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 Rate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50% of state cycles profitable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OOS / IS CAGR Ratio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0.6 (degradation check)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 of Trades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30 (statistical significance)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Hold Period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Consistent with state duration hypothesis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Benchmark vs Buy-and-Hold BTC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outperform on risk-adjusted basis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 Refinement Protocol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the strategy fails one or more gate metrics, follow this refinement process — in order: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Review the state transition log. Identify states that consistently underperform.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Adjust thresholds only within the IS dataset. Do NOT touch OOS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 sensitivity analysis: vary each parameter ±20% and measure impact on OOS Sharpe.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a state consistently destroys value across all parameter variants, eliminate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 every change made, the reason for the change, and the result.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Re-run full backtest after each change. Maximum 5 refinement cycles before re-evaluating the hypothesis.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Refinement Red Lines — if any of these are true, return to Step 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OOS performance is statistically worse than buy-and-hold with no maximum drawdown benefit.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strategy requires more than 3 states to be eliminated to pass the gate.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temporal lag measured in Step 3 is not present in the OOS data.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5 refinement cycles, the OOS Sharpe is still below 1.0.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5.5  Final Metrics Card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successful completion, produce a one-page Metrics Card summarising the validated strategy: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Strategy Name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Universe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Validated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 CAGR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OOS CAGR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 Sharpe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OOS Sharpe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Drawdown (OOS)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Calmar Ratio (OOS)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Trades (OOS)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 of States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Temporal Lags Used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Status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 / NOT APPROVED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5.6  Gate: Final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Step 5 Final Gate — all must be true to mark the strategy as APPROVED FOR DEPLOYMENT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OOS CAGR &gt; 30%.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OOS Sharpe &gt; 1.5.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OOS Max Drawdown &lt; 30%.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OOS / IS CAGR ratio &gt; 0.6.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Metrics Card is completed and filed.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refinement changes are documented.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Strategy code is version-controlled and tagged.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Appendix: Quick Reference Checklist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checklist at the start of every new CCE strategy development cycle.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1 — Target Definition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Temporal hypothesis written in one testable sentence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Asset universe fully enumerated with rationale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 scope defined (exchange, pairs, quote currency)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Preliminary state map drafted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Success criteria numerically defined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2 — Data Gathering &amp; Report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10-year OHLCV data downloaded for all assets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indicators computed and spot-checked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Fear &amp; Greed index data collected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VIX and macro signals collected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Correlation matrices computed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Temporal lag cross-correlation analysis run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 PDF generated and reviewed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3 — State &amp; Pattern Analysis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 3 full market cycles identified and annotated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Temporal delays measured (mean, median, std dev) for each lag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states defined with numeric entry/exit conditions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allocation defined for each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 map document finalised and signed off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4 — Strategy Generation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 machine implemented in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temporal lag signals implemented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parameters in config file — none hard-coded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controls implemented (max DD, emergency exit)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logging implemented for all state transitions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Strategy runs end-to-end on full dataset without errors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5 — Backtest, Refinement &amp; Sign-Off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backtest run (Years 1–7)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OOS backtest run (Years 8–10)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Walk-forward test run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Stress test on crash periods run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gate metrics computed for IS and OOS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Refinement changes documented if applicable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Metrics Card completed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Strategy tagged in version control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APPROVED FOR DEPLOYMENT confirmed</w:t>
      </w:r>
    </w:p>
    <w:p>
      <w:pPr>
        <w:spacing w:before="240" w:after="0"/>
      </w:pPr>
      <w:r>
        <w:t xml:space="preserve"/>
      </w:r>
    </w:p>
    <w:p>
      <w:pPr>
        <w:pBdr>
          <w:bottom w:val="single" w:color="D0D5DD" w:sz="4" w:space="1"/>
        </w:pBdr>
        <w:spacing w:before="160" w:after="160"/>
      </w:pPr>
    </w:p>
    <w:p>
      <w:pPr>
        <w:spacing w:before="80"/>
        <w:jc w:val="center"/>
      </w:pPr>
      <w:r>
        <w:rPr>
          <w:rFonts w:ascii="Arial" w:cs="Arial" w:eastAsia="Arial" w:hAnsi="Arial"/>
          <w:color w:val="D0D5DD"/>
          <w:sz w:val="18"/>
          <w:szCs w:val="18"/>
        </w:rPr>
        <w:t xml:space="preserve">CCE Framework Generic Development Plan  ·  Version 1.0  ·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1"/>
      </w:pBdr>
      <w:spacing w:before="80"/>
    </w:pPr>
    <w:r>
      <w:rPr>
        <w:rFonts w:ascii="Arial" w:cs="Arial" w:eastAsia="Arial" w:hAnsi="Arial"/>
        <w:color w:val="D0D5DD"/>
        <w:sz w:val="16"/>
        <w:szCs w:val="16"/>
      </w:rPr>
      <w:t xml:space="preserve">CONFIDENTIAL  ·  CCE Framework v1.0  ·  Page </w:t>
    </w:r>
    <w:r>
      <w:rPr>
        <w:rFonts w:ascii="Arial" w:cs="Arial" w:eastAsia="Arial" w:hAnsi="Arial"/>
        <w:color w:val="D0D5D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1"/>
      </w:pBdr>
      <w:spacing w:after="80"/>
    </w:pPr>
    <w:r>
      <w:rPr>
        <w:rFonts w:ascii="Arial" w:cs="Arial" w:eastAsia="Arial" w:hAnsi="Arial"/>
        <w:color w:val="D0D5DD"/>
        <w:sz w:val="16"/>
        <w:szCs w:val="16"/>
      </w:rPr>
      <w:t xml:space="preserve">CCE FRAMEWORK — GENERIC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2026-02-17T06:23:24.266Z</dcterms:created>
  <dcterms:modified xsi:type="dcterms:W3CDTF">2026-02-17T06:23:24.267Z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