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F3864"/>
          <w:sz w:val="52"/>
          <w:szCs w:val="52"/>
        </w:rPr>
        <w:t xml:space="preserve">Bitcoin Market Sentiment</w:t>
      </w:r>
    </w:p>
    <w:p>
      <w:pPr>
        <w:spacing w:after="0" w:before="80"/>
        <w:jc w:val="center"/>
      </w:pPr>
      <w:r>
        <w:rPr>
          <w:rFonts w:ascii="Arial" w:cs="Arial" w:eastAsia="Arial" w:hAnsi="Arial"/>
          <w:b/>
          <w:bCs/>
          <w:color w:val="2E75B6"/>
          <w:sz w:val="52"/>
          <w:szCs w:val="52"/>
        </w:rPr>
        <w:t xml:space="preserve">vs Trader Performance</w:t>
      </w:r>
    </w:p>
    <w:p>
      <w:pPr>
        <w:spacing w:after="0" w:before="240"/>
        <w:jc w:val="center"/>
      </w:pPr>
      <w:r>
        <w:rPr>
          <w:rFonts w:ascii="Arial" w:cs="Arial" w:eastAsia="Arial" w:hAnsi="Arial"/>
          <w:color w:val="666666"/>
          <w:sz w:val="24"/>
          <w:szCs w:val="24"/>
        </w:rPr>
        <w:t xml:space="preserve">Analysis Report — Hyperliquid Trader Data × Fear &amp; Greed Index</w:t>
      </w:r>
    </w:p>
    <w:p>
      <w:pPr>
        <w:spacing w:after="0" w:before="120"/>
        <w:jc w:val="center"/>
      </w:pPr>
      <w:r>
        <w:rPr>
          <w:rFonts w:ascii="Arial" w:cs="Arial" w:eastAsia="Arial" w:hAnsi="Arial"/>
          <w:color w:val="888888"/>
          <w:sz w:val="20"/>
          <w:szCs w:val="20"/>
        </w:rPr>
        <w:t xml:space="preserve">Period: January 2024 – May 2025  |  Dataset: 211,224 trades, 32 wallets, 246 tokens</w:t>
      </w:r>
    </w:p>
    <w:p>
      <w:pPr>
        <w:spacing w:after="0" w:before="600"/>
        <w:jc w:val="center"/>
      </w:pPr>
      <w:r>
        <w:br w:type="page"/>
      </w:r>
    </w:p>
    <w:p>
      <w:pPr>
        <w:pStyle w:val="Heading1"/>
        <w:spacing w:after="160" w:before="320"/>
      </w:pPr>
      <w:r>
        <w:rPr>
          <w:rFonts w:ascii="Arial" w:cs="Arial" w:eastAsia="Arial" w:hAnsi="Arial"/>
          <w:b/>
          <w:bCs/>
          <w:color w:val="1F3864"/>
          <w:sz w:val="32"/>
          <w:szCs w:val="32"/>
        </w:rPr>
        <w:t xml:space="preserve">1. Objective</w:t>
      </w:r>
    </w:p>
    <w:p>
      <w:pPr>
        <w:spacing w:after="120" w:before="80" w:line="320"/>
        <w:jc w:val="both"/>
      </w:pPr>
      <w:r>
        <w:rPr>
          <w:rFonts w:ascii="Arial" w:cs="Arial" w:eastAsia="Arial" w:hAnsi="Arial"/>
          <w:sz w:val="22"/>
          <w:szCs w:val="22"/>
        </w:rPr>
        <w:t xml:space="preserve">This analysis was conducted as part of a Data Science Internship selection task. The objective is to explore the relationship between Bitcoin market sentiment — as measured by the Fear &amp; Greed Index — and the trading performance of real wallets on the Hyperliquid decentralised exchange.</w:t>
      </w:r>
    </w:p>
    <w:p>
      <w:pPr>
        <w:spacing w:after="120" w:before="80" w:line="320"/>
        <w:jc w:val="both"/>
      </w:pPr>
      <w:r>
        <w:rPr>
          <w:rFonts w:ascii="Arial" w:cs="Arial" w:eastAsia="Arial" w:hAnsi="Arial"/>
          <w:sz w:val="22"/>
          <w:szCs w:val="22"/>
        </w:rPr>
        <w:t xml:space="preserve">The goal is to move beyond surface-level metrics and uncover patterns that can inform smarter, sentiment-aware trading strategies. Specific questions addressed include:</w:t>
      </w:r>
    </w:p>
    <w:p>
      <w:pPr>
        <w:pStyle w:val="ListParagraph"/>
        <w:numPr>
          <w:ilvl w:val="0"/>
          <w:numId w:val="2"/>
        </w:numPr>
        <w:spacing w:after="60" w:before="60"/>
      </w:pPr>
      <w:r>
        <w:rPr>
          <w:rFonts w:ascii="Arial" w:cs="Arial" w:eastAsia="Arial" w:hAnsi="Arial"/>
          <w:sz w:val="22"/>
          <w:szCs w:val="22"/>
        </w:rPr>
        <w:t xml:space="preserve">Does market sentiment predict trader win rates or profitability?</w:t>
      </w:r>
    </w:p>
    <w:p>
      <w:pPr>
        <w:pStyle w:val="ListParagraph"/>
        <w:numPr>
          <w:ilvl w:val="0"/>
          <w:numId w:val="2"/>
        </w:numPr>
        <w:spacing w:after="60" w:before="60"/>
      </w:pPr>
      <w:r>
        <w:rPr>
          <w:rFonts w:ascii="Arial" w:cs="Arial" w:eastAsia="Arial" w:hAnsi="Arial"/>
          <w:sz w:val="22"/>
          <w:szCs w:val="22"/>
        </w:rPr>
        <w:t xml:space="preserve">Are certain trade directions (long vs short) more profitable under specific sentiment regimes?</w:t>
      </w:r>
    </w:p>
    <w:p>
      <w:pPr>
        <w:pStyle w:val="ListParagraph"/>
        <w:numPr>
          <w:ilvl w:val="0"/>
          <w:numId w:val="2"/>
        </w:numPr>
        <w:spacing w:after="60" w:before="60"/>
      </w:pPr>
      <w:r>
        <w:rPr>
          <w:rFonts w:ascii="Arial" w:cs="Arial" w:eastAsia="Arial" w:hAnsi="Arial"/>
          <w:sz w:val="22"/>
          <w:szCs w:val="22"/>
        </w:rPr>
        <w:t xml:space="preserve">How concentrated is trading alpha across the wallet pool?</w:t>
      </w:r>
    </w:p>
    <w:p>
      <w:pPr>
        <w:pStyle w:val="ListParagraph"/>
        <w:numPr>
          <w:ilvl w:val="0"/>
          <w:numId w:val="2"/>
        </w:numPr>
        <w:spacing w:after="60" w:before="60"/>
      </w:pPr>
      <w:r>
        <w:rPr>
          <w:rFonts w:ascii="Arial" w:cs="Arial" w:eastAsia="Arial" w:hAnsi="Arial"/>
          <w:sz w:val="22"/>
          <w:szCs w:val="22"/>
        </w:rPr>
        <w:t xml:space="preserve">What macro events drove the largest PnL swings in the dataset?</w:t>
      </w:r>
    </w:p>
    <w:p>
      <w:pPr>
        <w:spacing w:after="60" w:before="60"/>
      </w:pPr>
    </w:p>
    <w:p>
      <w:pPr>
        <w:pStyle w:val="Heading1"/>
        <w:spacing w:after="160" w:before="320"/>
      </w:pPr>
      <w:r>
        <w:rPr>
          <w:rFonts w:ascii="Arial" w:cs="Arial" w:eastAsia="Arial" w:hAnsi="Arial"/>
          <w:b/>
          <w:bCs/>
          <w:color w:val="1F3864"/>
          <w:sz w:val="32"/>
          <w:szCs w:val="32"/>
        </w:rPr>
        <w:t xml:space="preserve">2. Datasets</w:t>
      </w:r>
    </w:p>
    <w:p>
      <w:pPr>
        <w:pStyle w:val="Heading2"/>
        <w:spacing w:after="120" w:before="240"/>
      </w:pPr>
      <w:r>
        <w:rPr>
          <w:rFonts w:ascii="Arial" w:cs="Arial" w:eastAsia="Arial" w:hAnsi="Arial"/>
          <w:b/>
          <w:bCs/>
          <w:color w:val="2E75B6"/>
          <w:sz w:val="26"/>
          <w:szCs w:val="26"/>
        </w:rPr>
        <w:t xml:space="preserve">2.1 Bitcoin Fear &amp; Greed Index</w:t>
      </w:r>
    </w:p>
    <w:p>
      <w:pPr>
        <w:spacing w:after="120" w:before="80" w:line="320"/>
        <w:jc w:val="both"/>
      </w:pPr>
      <w:r>
        <w:rPr>
          <w:rFonts w:ascii="Arial" w:cs="Arial" w:eastAsia="Arial" w:hAnsi="Arial"/>
          <w:sz w:val="22"/>
          <w:szCs w:val="22"/>
        </w:rPr>
        <w:t xml:space="preserve">Source: Alternative.me public API  |  Rows: 2,644 daily records  |  Date range: February 2018 – May 2025</w:t>
      </w:r>
    </w:p>
    <w:p>
      <w:pPr>
        <w:spacing w:after="120" w:before="80" w:line="320"/>
        <w:jc w:val="both"/>
      </w:pPr>
      <w:r>
        <w:rPr>
          <w:rFonts w:ascii="Arial" w:cs="Arial" w:eastAsia="Arial" w:hAnsi="Arial"/>
          <w:sz w:val="22"/>
          <w:szCs w:val="22"/>
        </w:rPr>
        <w:t xml:space="preserve">This dataset provides a daily sentiment classification for Bitcoin markets based on volatility, market momentum, social media, surveys, dominance, and Google Trends data. The five classifications used in this analysis are: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Index Range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Days in Dataset</w:t>
            </w:r>
          </w:p>
        </w:tc>
        <w:tc>
          <w:tcPr>
            <w:tcW w:type="dxa" w:w="2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Interpretation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Extreme Fear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0 – 24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508</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Market in panic; investors overselling</w:t>
            </w:r>
          </w:p>
        </w:tc>
      </w:tr>
      <w:tr>
        <w:tc>
          <w:tcPr>
            <w:tcW w:type="dxa" w:w="2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Fear</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25 – 49</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781</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Caution prevails; below average confidence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Neutral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396</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Balanced market sentiment</w:t>
            </w:r>
          </w:p>
        </w:tc>
      </w:tr>
      <w:tr>
        <w:tc>
          <w:tcPr>
            <w:tcW w:type="dxa" w:w="2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Greed</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51 – 74</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633</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Optimism rising; buyers gaining control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Extreme Greed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75 – 100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326</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Market euphoria; potential overbuying</w:t>
            </w:r>
          </w:p>
        </w:tc>
      </w:tr>
    </w:tbl>
    <w:p>
      <w:pPr>
        <w:spacing w:after="60" w:before="60"/>
      </w:pPr>
    </w:p>
    <w:p>
      <w:pPr>
        <w:pStyle w:val="Heading2"/>
        <w:spacing w:after="120" w:before="240"/>
      </w:pPr>
      <w:r>
        <w:rPr>
          <w:rFonts w:ascii="Arial" w:cs="Arial" w:eastAsia="Arial" w:hAnsi="Arial"/>
          <w:b/>
          <w:bCs/>
          <w:color w:val="2E75B6"/>
          <w:sz w:val="26"/>
          <w:szCs w:val="26"/>
        </w:rPr>
        <w:t xml:space="preserve">2.2 Hyperliquid Historical Trader Data</w:t>
      </w:r>
    </w:p>
    <w:p>
      <w:pPr>
        <w:spacing w:after="120" w:before="80" w:line="320"/>
        <w:jc w:val="both"/>
      </w:pPr>
      <w:r>
        <w:rPr>
          <w:rFonts w:ascii="Arial" w:cs="Arial" w:eastAsia="Arial" w:hAnsi="Arial"/>
          <w:sz w:val="22"/>
          <w:szCs w:val="22"/>
        </w:rPr>
        <w:t xml:space="preserve">Source: Hyperliquid DEX on-chain records  |  Rows: 211,224 trades  |  Accounts: 32 unique wallets  |  Tokens: 246</w:t>
      </w:r>
    </w:p>
    <w:p>
      <w:pPr>
        <w:spacing w:after="120" w:before="80" w:line="320"/>
        <w:jc w:val="both"/>
      </w:pPr>
      <w:r>
        <w:rPr>
          <w:rFonts w:ascii="Arial" w:cs="Arial" w:eastAsia="Arial" w:hAnsi="Arial"/>
          <w:sz w:val="22"/>
          <w:szCs w:val="22"/>
        </w:rPr>
        <w:t xml:space="preserve">Each row represents a single trade execution with the following key columns:</w:t>
      </w:r>
    </w:p>
    <w:p>
      <w:pPr>
        <w:pStyle w:val="ListParagraph"/>
        <w:numPr>
          <w:ilvl w:val="0"/>
          <w:numId w:val="2"/>
        </w:numPr>
        <w:spacing w:after="60" w:before="60"/>
      </w:pPr>
      <w:r>
        <w:rPr>
          <w:rFonts w:ascii="Arial" w:cs="Arial" w:eastAsia="Arial" w:hAnsi="Arial"/>
          <w:sz w:val="22"/>
          <w:szCs w:val="22"/>
        </w:rPr>
        <w:t xml:space="preserve">Account — wallet address (anonymised in this report)</w:t>
      </w:r>
    </w:p>
    <w:p>
      <w:pPr>
        <w:pStyle w:val="ListParagraph"/>
        <w:numPr>
          <w:ilvl w:val="0"/>
          <w:numId w:val="2"/>
        </w:numPr>
        <w:spacing w:after="60" w:before="60"/>
      </w:pPr>
      <w:r>
        <w:rPr>
          <w:rFonts w:ascii="Arial" w:cs="Arial" w:eastAsia="Arial" w:hAnsi="Arial"/>
          <w:sz w:val="22"/>
          <w:szCs w:val="22"/>
        </w:rPr>
        <w:t xml:space="preserve">Coin — traded token (e.g. BTC, ETH, HYPE, SOL)</w:t>
      </w:r>
    </w:p>
    <w:p>
      <w:pPr>
        <w:pStyle w:val="ListParagraph"/>
        <w:numPr>
          <w:ilvl w:val="0"/>
          <w:numId w:val="2"/>
        </w:numPr>
        <w:spacing w:after="60" w:before="60"/>
      </w:pPr>
      <w:r>
        <w:rPr>
          <w:rFonts w:ascii="Arial" w:cs="Arial" w:eastAsia="Arial" w:hAnsi="Arial"/>
          <w:sz w:val="22"/>
          <w:szCs w:val="22"/>
        </w:rPr>
        <w:t xml:space="preserve">Execution Price, Size USD, Size Tokens — trade size details</w:t>
      </w:r>
    </w:p>
    <w:p>
      <w:pPr>
        <w:pStyle w:val="ListParagraph"/>
        <w:numPr>
          <w:ilvl w:val="0"/>
          <w:numId w:val="2"/>
        </w:numPr>
        <w:spacing w:after="60" w:before="60"/>
      </w:pPr>
      <w:r>
        <w:rPr>
          <w:rFonts w:ascii="Arial" w:cs="Arial" w:eastAsia="Arial" w:hAnsi="Arial"/>
          <w:sz w:val="22"/>
          <w:szCs w:val="22"/>
        </w:rPr>
        <w:t xml:space="preserve">Side — BUY or SELL</w:t>
      </w:r>
    </w:p>
    <w:p>
      <w:pPr>
        <w:pStyle w:val="ListParagraph"/>
        <w:numPr>
          <w:ilvl w:val="0"/>
          <w:numId w:val="2"/>
        </w:numPr>
        <w:spacing w:after="60" w:before="60"/>
      </w:pPr>
      <w:r>
        <w:rPr>
          <w:rFonts w:ascii="Arial" w:cs="Arial" w:eastAsia="Arial" w:hAnsi="Arial"/>
          <w:sz w:val="22"/>
          <w:szCs w:val="22"/>
        </w:rPr>
        <w:t xml:space="preserve">Direction — Open Long, Close Long, Open Short, Close Short, etc.</w:t>
      </w:r>
    </w:p>
    <w:p>
      <w:pPr>
        <w:pStyle w:val="ListParagraph"/>
        <w:numPr>
          <w:ilvl w:val="0"/>
          <w:numId w:val="2"/>
        </w:numPr>
        <w:spacing w:after="60" w:before="60"/>
      </w:pPr>
      <w:r>
        <w:rPr>
          <w:rFonts w:ascii="Arial" w:cs="Arial" w:eastAsia="Arial" w:hAnsi="Arial"/>
          <w:sz w:val="22"/>
          <w:szCs w:val="22"/>
        </w:rPr>
        <w:t xml:space="preserve">Closed PnL — realised profit or loss on closing trades (zero for opens)</w:t>
      </w:r>
    </w:p>
    <w:p>
      <w:pPr>
        <w:pStyle w:val="ListParagraph"/>
        <w:numPr>
          <w:ilvl w:val="0"/>
          <w:numId w:val="2"/>
        </w:numPr>
        <w:spacing w:after="60" w:before="60"/>
      </w:pPr>
      <w:r>
        <w:rPr>
          <w:rFonts w:ascii="Arial" w:cs="Arial" w:eastAsia="Arial" w:hAnsi="Arial"/>
          <w:sz w:val="22"/>
          <w:szCs w:val="22"/>
        </w:rPr>
        <w:t xml:space="preserve">Fee — transaction fee paid</w:t>
      </w:r>
    </w:p>
    <w:p>
      <w:pPr>
        <w:pStyle w:val="ListParagraph"/>
        <w:numPr>
          <w:ilvl w:val="0"/>
          <w:numId w:val="2"/>
        </w:numPr>
        <w:spacing w:after="60" w:before="60"/>
      </w:pPr>
      <w:r>
        <w:rPr>
          <w:rFonts w:ascii="Arial" w:cs="Arial" w:eastAsia="Arial" w:hAnsi="Arial"/>
          <w:sz w:val="22"/>
          <w:szCs w:val="22"/>
        </w:rPr>
        <w:t xml:space="preserve">Timestamp IST — trade execution time (Indian Standard Time)</w:t>
      </w:r>
    </w:p>
    <w:p>
      <w:pPr>
        <w:spacing w:after="60" w:before="60"/>
      </w:pPr>
    </w:p>
    <w:p>
      <w:pPr>
        <w:pStyle w:val="Heading1"/>
        <w:spacing w:after="160" w:before="320"/>
      </w:pPr>
      <w:r>
        <w:rPr>
          <w:rFonts w:ascii="Arial" w:cs="Arial" w:eastAsia="Arial" w:hAnsi="Arial"/>
          <w:b/>
          <w:bCs/>
          <w:color w:val="1F3864"/>
          <w:sz w:val="32"/>
          <w:szCs w:val="32"/>
        </w:rPr>
        <w:t xml:space="preserve">3. Methodology</w:t>
      </w:r>
    </w:p>
    <w:p>
      <w:pPr>
        <w:spacing w:after="120" w:before="80" w:line="320"/>
        <w:jc w:val="both"/>
      </w:pPr>
      <w:r>
        <w:rPr>
          <w:rFonts w:ascii="Arial" w:cs="Arial" w:eastAsia="Arial" w:hAnsi="Arial"/>
          <w:sz w:val="22"/>
          <w:szCs w:val="22"/>
        </w:rPr>
        <w:t xml:space="preserve">The analysis followed a structured five-step pipeline:</w:t>
      </w:r>
    </w:p>
    <w:p>
      <w:pPr>
        <w:pStyle w:val="ListParagraph"/>
        <w:numPr>
          <w:ilvl w:val="0"/>
          <w:numId w:val="2"/>
        </w:numPr>
        <w:spacing w:after="60" w:before="60"/>
      </w:pPr>
      <w:r>
        <w:rPr>
          <w:rFonts w:ascii="Arial" w:cs="Arial" w:eastAsia="Arial" w:hAnsi="Arial"/>
          <w:b/>
          <w:bCs/>
          <w:sz w:val="22"/>
          <w:szCs w:val="22"/>
        </w:rPr>
        <w:t xml:space="preserve">Step 1 — Data Cleaning: </w:t>
      </w:r>
      <w:r>
        <w:rPr>
          <w:rFonts w:ascii="Arial" w:cs="Arial" w:eastAsia="Arial" w:hAnsi="Arial"/>
          <w:sz w:val="22"/>
          <w:szCs w:val="22"/>
        </w:rPr>
        <w:t xml:space="preserve">Parsed timestamps, standardised sentiment labels, removed 6 rows with unparseable dates. Both datasets were checked for nulls and type consistency.</w:t>
      </w:r>
    </w:p>
    <w:p>
      <w:pPr>
        <w:pStyle w:val="ListParagraph"/>
        <w:numPr>
          <w:ilvl w:val="0"/>
          <w:numId w:val="2"/>
        </w:numPr>
        <w:spacing w:after="60" w:before="60"/>
      </w:pPr>
      <w:r>
        <w:rPr>
          <w:rFonts w:ascii="Arial" w:cs="Arial" w:eastAsia="Arial" w:hAnsi="Arial"/>
          <w:b/>
          <w:bCs/>
          <w:sz w:val="22"/>
          <w:szCs w:val="22"/>
        </w:rPr>
        <w:t xml:space="preserve">Step 2 — Dataset Merge: </w:t>
      </w:r>
      <w:r>
        <w:rPr>
          <w:rFonts w:ascii="Arial" w:cs="Arial" w:eastAsia="Arial" w:hAnsi="Arial"/>
          <w:sz w:val="22"/>
          <w:szCs w:val="22"/>
        </w:rPr>
        <w:t xml:space="preserve">The fear &amp; greed classification for each calendar day was joined onto the trade dataset using the trade date as the key. This allowed every trade to inherit the sentiment context of the day it was executed.</w:t>
      </w:r>
    </w:p>
    <w:p>
      <w:pPr>
        <w:pStyle w:val="ListParagraph"/>
        <w:numPr>
          <w:ilvl w:val="0"/>
          <w:numId w:val="2"/>
        </w:numPr>
        <w:spacing w:after="60" w:before="60"/>
      </w:pPr>
      <w:r>
        <w:rPr>
          <w:rFonts w:ascii="Arial" w:cs="Arial" w:eastAsia="Arial" w:hAnsi="Arial"/>
          <w:b/>
          <w:bCs/>
          <w:sz w:val="22"/>
          <w:szCs w:val="22"/>
        </w:rPr>
        <w:t xml:space="preserve">Step 3 — Exploratory Data Analysis: </w:t>
      </w:r>
      <w:r>
        <w:rPr>
          <w:rFonts w:ascii="Arial" w:cs="Arial" w:eastAsia="Arial" w:hAnsi="Arial"/>
          <w:sz w:val="22"/>
          <w:szCs w:val="22"/>
        </w:rPr>
        <w:t xml:space="preserve">Trade distributions, coin breakdowns, hourly patterns, and per-account summaries were examined independently before introducing sentiment.</w:t>
      </w:r>
    </w:p>
    <w:p>
      <w:pPr>
        <w:pStyle w:val="ListParagraph"/>
        <w:numPr>
          <w:ilvl w:val="0"/>
          <w:numId w:val="2"/>
        </w:numPr>
        <w:spacing w:after="60" w:before="60"/>
      </w:pPr>
      <w:r>
        <w:rPr>
          <w:rFonts w:ascii="Arial" w:cs="Arial" w:eastAsia="Arial" w:hAnsi="Arial"/>
          <w:b/>
          <w:bCs/>
          <w:sz w:val="22"/>
          <w:szCs w:val="22"/>
        </w:rPr>
        <w:t xml:space="preserve">Step 4 — Sentiment-Performance Analysis: </w:t>
      </w:r>
      <w:r>
        <w:rPr>
          <w:rFonts w:ascii="Arial" w:cs="Arial" w:eastAsia="Arial" w:hAnsi="Arial"/>
          <w:sz w:val="22"/>
          <w:szCs w:val="22"/>
        </w:rPr>
        <w:t xml:space="preserve">Win rates, average PnL, volume, and position-direction performance were computed for each of the five sentiment regimes.</w:t>
      </w:r>
    </w:p>
    <w:p>
      <w:pPr>
        <w:pStyle w:val="ListParagraph"/>
        <w:numPr>
          <w:ilvl w:val="0"/>
          <w:numId w:val="2"/>
        </w:numPr>
        <w:spacing w:after="60" w:before="60"/>
      </w:pPr>
      <w:r>
        <w:rPr>
          <w:rFonts w:ascii="Arial" w:cs="Arial" w:eastAsia="Arial" w:hAnsi="Arial"/>
          <w:b/>
          <w:bCs/>
          <w:sz w:val="22"/>
          <w:szCs w:val="22"/>
        </w:rPr>
        <w:t xml:space="preserve">Step 5 — Strategy Synthesis: </w:t>
      </w:r>
      <w:r>
        <w:rPr>
          <w:rFonts w:ascii="Arial" w:cs="Arial" w:eastAsia="Arial" w:hAnsi="Arial"/>
          <w:sz w:val="22"/>
          <w:szCs w:val="22"/>
        </w:rPr>
        <w:t xml:space="preserve">Statistically notable patterns were translated into actionable trading strategy recommendations.</w:t>
      </w:r>
    </w:p>
    <w:p>
      <w:pPr>
        <w:spacing w:after="60" w:before="60"/>
      </w:pPr>
    </w:p>
    <w:p>
      <w:pPr>
        <w:pStyle w:val="Heading1"/>
        <w:spacing w:after="160" w:before="320"/>
      </w:pPr>
      <w:r>
        <w:rPr>
          <w:rFonts w:ascii="Arial" w:cs="Arial" w:eastAsia="Arial" w:hAnsi="Arial"/>
          <w:b/>
          <w:bCs/>
          <w:color w:val="1F3864"/>
          <w:sz w:val="32"/>
          <w:szCs w:val="32"/>
        </w:rPr>
        <w:t xml:space="preserve">4. Exploratory Data Analysis</w:t>
      </w:r>
    </w:p>
    <w:p>
      <w:pPr>
        <w:pStyle w:val="Heading2"/>
        <w:spacing w:after="120" w:before="240"/>
      </w:pPr>
      <w:r>
        <w:rPr>
          <w:rFonts w:ascii="Arial" w:cs="Arial" w:eastAsia="Arial" w:hAnsi="Arial"/>
          <w:b/>
          <w:bCs/>
          <w:color w:val="2E75B6"/>
          <w:sz w:val="26"/>
          <w:szCs w:val="26"/>
        </w:rPr>
        <w:t xml:space="preserve">4.1 Dataset Overview</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Metric</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Total trade records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211,224</w:t>
            </w:r>
          </w:p>
        </w:tc>
      </w:tr>
      <w:tr>
        <w:tc>
          <w:tcPr>
            <w:tcW w:type="dxa" w:w="5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Unique wallets</w:t>
            </w:r>
          </w:p>
        </w:tc>
        <w:tc>
          <w:tcPr>
            <w:tcW w:type="dxa" w:w="43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32</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Unique tokens traded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246</w:t>
            </w:r>
          </w:p>
        </w:tc>
      </w:tr>
      <w:tr>
        <w:tc>
          <w:tcPr>
            <w:tcW w:type="dxa" w:w="5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Total realised PnL</w:t>
            </w:r>
          </w:p>
        </w:tc>
        <w:tc>
          <w:tcPr>
            <w:tcW w:type="dxa" w:w="43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$10,296,959</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Total volume (USD)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$1.19 billion</w:t>
            </w:r>
          </w:p>
        </w:tc>
      </w:tr>
      <w:tr>
        <w:tc>
          <w:tcPr>
            <w:tcW w:type="dxa" w:w="5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Date range</w:t>
            </w:r>
          </w:p>
        </w:tc>
        <w:tc>
          <w:tcPr>
            <w:tcW w:type="dxa" w:w="43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Jan 2024 – May 2025</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Closing trades (non-zero PnL)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104,401</w:t>
            </w:r>
          </w:p>
        </w:tc>
      </w:tr>
      <w:tr>
        <w:tc>
          <w:tcPr>
            <w:tcW w:type="dxa" w:w="5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Overall win rate</w:t>
            </w:r>
          </w:p>
        </w:tc>
        <w:tc>
          <w:tcPr>
            <w:tcW w:type="dxa" w:w="43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83.5%</w:t>
            </w:r>
          </w:p>
        </w:tc>
      </w:tr>
    </w:tbl>
    <w:p>
      <w:pPr>
        <w:spacing w:after="60" w:before="60"/>
      </w:pPr>
    </w:p>
    <w:p>
      <w:pPr>
        <w:pStyle w:val="Heading2"/>
        <w:spacing w:after="120" w:before="240"/>
      </w:pPr>
      <w:r>
        <w:rPr>
          <w:rFonts w:ascii="Arial" w:cs="Arial" w:eastAsia="Arial" w:hAnsi="Arial"/>
          <w:b/>
          <w:bCs/>
          <w:color w:val="2E75B6"/>
          <w:sz w:val="26"/>
          <w:szCs w:val="26"/>
        </w:rPr>
        <w:t xml:space="preserve">4.2 Most Traded Tokens</w:t>
      </w:r>
    </w:p>
    <w:p>
      <w:pPr>
        <w:spacing w:after="120" w:before="80" w:line="320"/>
        <w:jc w:val="both"/>
      </w:pPr>
      <w:r>
        <w:rPr>
          <w:rFonts w:ascii="Arial" w:cs="Arial" w:eastAsia="Arial" w:hAnsi="Arial"/>
          <w:sz w:val="22"/>
          <w:szCs w:val="22"/>
        </w:rPr>
        <w:t xml:space="preserve">HYPE dominates by trade count (68,005 trades, 32% of dataset), followed by @107 (30,000 trades) and BTC (26,064). However, the highest PnL generator is @107 at $2.78M, showing that frequency and profitability are not necessarily aligned.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Rank</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Coin</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Trade Count</w:t>
            </w:r>
          </w:p>
        </w:tc>
        <w:tc>
          <w:tcPr>
            <w:tcW w:type="dxa" w:w="3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Total PnL ($)</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@107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29,992</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$2,783,913</w:t>
            </w:r>
          </w:p>
        </w:tc>
      </w:tr>
      <w:tr>
        <w:tc>
          <w:tcPr>
            <w:tcW w:type="dxa" w:w="1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HYPE</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68,005</w:t>
            </w:r>
          </w:p>
        </w:tc>
        <w:tc>
          <w:tcPr>
            <w:tcW w:type="dxa" w:w="33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$1,948,485</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SOL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10,691</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$1,639,556</w:t>
            </w:r>
          </w:p>
        </w:tc>
      </w:tr>
      <w:tr>
        <w:tc>
          <w:tcPr>
            <w:tcW w:type="dxa" w:w="1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ETH</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11,158</w:t>
            </w:r>
          </w:p>
        </w:tc>
        <w:tc>
          <w:tcPr>
            <w:tcW w:type="dxa" w:w="33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$1,319,979</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BTC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26,064</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$868,045</w:t>
            </w:r>
          </w:p>
        </w:tc>
      </w:tr>
    </w:tbl>
    <w:p>
      <w:pPr>
        <w:spacing w:after="60" w:before="60"/>
      </w:pPr>
    </w:p>
    <w:p>
      <w:pPr>
        <w:pStyle w:val="Heading2"/>
        <w:spacing w:after="120" w:before="240"/>
      </w:pPr>
      <w:r>
        <w:rPr>
          <w:rFonts w:ascii="Arial" w:cs="Arial" w:eastAsia="Arial" w:hAnsi="Arial"/>
          <w:b/>
          <w:bCs/>
          <w:color w:val="2E75B6"/>
          <w:sz w:val="26"/>
          <w:szCs w:val="26"/>
        </w:rPr>
        <w:t xml:space="preserve">4.3 Trading Activity Patterns</w:t>
      </w:r>
    </w:p>
    <w:p>
      <w:pPr>
        <w:spacing w:after="120" w:before="80" w:line="320"/>
        <w:jc w:val="both"/>
      </w:pPr>
      <w:r>
        <w:rPr>
          <w:rFonts w:ascii="Arial" w:cs="Arial" w:eastAsia="Arial" w:hAnsi="Arial"/>
          <w:sz w:val="22"/>
          <w:szCs w:val="22"/>
        </w:rPr>
        <w:t xml:space="preserve">Peak trading hours are 19:00–21:00 IST (13:30–15:30 UTC), which aligns with the overlap between European afternoon sessions and the US market open. Activity is lowest between 15:00–18:00 IST. This pattern suggests traders in this pool are partially responsive to traditional market schedules despite crypto being a 24/7 market.</w:t>
      </w:r>
    </w:p>
    <w:p>
      <w:pPr>
        <w:spacing w:after="120" w:before="80" w:line="320"/>
        <w:jc w:val="both"/>
      </w:pPr>
      <w:r>
        <w:rPr>
          <w:rFonts w:ascii="Arial" w:cs="Arial" w:eastAsia="Arial" w:hAnsi="Arial"/>
          <w:sz w:val="22"/>
          <w:szCs w:val="22"/>
        </w:rPr>
        <w:t xml:space="preserve">The overall buy vs sell split is nearly equal (51% BUY, 49% SELL), which is expected for a perpetual futures pool where both sides of every trade must be represented.</w:t>
      </w:r>
    </w:p>
    <w:p>
      <w:pPr>
        <w:spacing w:after="60" w:before="60"/>
      </w:pPr>
    </w:p>
    <w:p>
      <w:pPr>
        <w:pStyle w:val="Heading1"/>
        <w:spacing w:after="160" w:before="320"/>
      </w:pPr>
      <w:r>
        <w:rPr>
          <w:rFonts w:ascii="Arial" w:cs="Arial" w:eastAsia="Arial" w:hAnsi="Arial"/>
          <w:b/>
          <w:bCs/>
          <w:color w:val="1F3864"/>
          <w:sz w:val="32"/>
          <w:szCs w:val="32"/>
        </w:rPr>
        <w:t xml:space="preserve">5. Sentiment vs Trader Performance</w:t>
      </w:r>
    </w:p>
    <w:p>
      <w:pPr>
        <w:pStyle w:val="Heading2"/>
        <w:spacing w:after="120" w:before="240"/>
      </w:pPr>
      <w:r>
        <w:rPr>
          <w:rFonts w:ascii="Arial" w:cs="Arial" w:eastAsia="Arial" w:hAnsi="Arial"/>
          <w:b/>
          <w:bCs/>
          <w:color w:val="2E75B6"/>
          <w:sz w:val="26"/>
          <w:szCs w:val="26"/>
        </w:rPr>
        <w:t xml:space="preserve">5.1 Win Rate by Sentiment</w:t>
      </w:r>
    </w:p>
    <w:p>
      <w:pPr>
        <w:spacing w:after="120" w:before="80" w:line="320"/>
        <w:jc w:val="both"/>
      </w:pPr>
      <w:r>
        <w:rPr>
          <w:rFonts w:ascii="Arial" w:cs="Arial" w:eastAsia="Arial" w:hAnsi="Arial"/>
          <w:sz w:val="22"/>
          <w:szCs w:val="22"/>
        </w:rPr>
        <w:t xml:space="preserve">Win rate was calculated only on closing trades (where Closed PnL is non-zero), as opening trades always record zero PnL and would dilute the metric artificially.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1800"/>
        <w:gridCol w:w="2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Sentiment</w:t>
            </w:r>
          </w:p>
        </w:tc>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Win Rate</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Closing Trades</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Avg PnL ($)</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Total PnL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Extreme Fear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76.2%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10,406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$71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$739,110</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Fear</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87.3%</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29,808</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$113</w:t>
            </w:r>
          </w:p>
        </w:tc>
        <w:tc>
          <w:tcPr>
            <w:tcW w:type="dxa" w:w="21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$3,357,155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Neutral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82.4%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18,159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$71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$1,292,921</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Greed</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76.9%</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25,176</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$85</w:t>
            </w:r>
          </w:p>
        </w:tc>
        <w:tc>
          <w:tcPr>
            <w:tcW w:type="dxa" w:w="21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$2,150,129</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Extreme Greed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89.2%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20,853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$130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$2,715,171</w:t>
            </w:r>
          </w:p>
        </w:tc>
      </w:tr>
    </w:tbl>
    <w:p>
      <w:pPr>
        <w:spacing w:after="60" w:before="60"/>
      </w:pPr>
    </w:p>
    <w:p>
      <w:pPr>
        <w:spacing w:after="120" w:before="80" w:line="320"/>
        <w:jc w:val="both"/>
      </w:pPr>
      <w:r>
        <w:rPr>
          <w:rFonts w:ascii="Arial" w:cs="Arial" w:eastAsia="Arial" w:hAnsi="Arial"/>
          <w:sz w:val="22"/>
          <w:szCs w:val="22"/>
        </w:rPr>
        <w:t xml:space="preserve">Extreme Greed produces the highest win rate (89.2%) and highest average ticket ($130). However, Fear produced the largest total PnL ($3.36M) driven by high trade volume during that regime. The relationship between sentiment and performance is not simply linear.</w:t>
      </w:r>
    </w:p>
    <w:p>
      <w:pPr>
        <w:pStyle w:val="Heading2"/>
        <w:spacing w:after="120" w:before="240"/>
      </w:pPr>
      <w:r>
        <w:rPr>
          <w:rFonts w:ascii="Arial" w:cs="Arial" w:eastAsia="Arial" w:hAnsi="Arial"/>
          <w:b/>
          <w:bCs/>
          <w:color w:val="2E75B6"/>
          <w:sz w:val="26"/>
          <w:szCs w:val="26"/>
        </w:rPr>
        <w:t xml:space="preserve">5.2 Short Position Performance — The Most Striking Pattern</w:t>
      </w:r>
    </w:p>
    <w:p>
      <w:pPr>
        <w:spacing w:after="120" w:before="80" w:line="320"/>
        <w:jc w:val="both"/>
      </w:pPr>
      <w:r>
        <w:rPr>
          <w:rFonts w:ascii="Arial" w:cs="Arial" w:eastAsia="Arial" w:hAnsi="Arial"/>
          <w:sz w:val="22"/>
          <w:szCs w:val="22"/>
        </w:rPr>
        <w:t xml:space="preserve">When isolating closing short position trades (i.e., profitable exits from short bets), a dramatic divergence appears across sentiment regimes: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Sentiment</w:t>
            </w:r>
          </w:p>
        </w:tc>
        <w:tc>
          <w:tcPr>
            <w:tcW w:type="dxa" w:w="35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Avg PnL on Short Close ($)</w:t>
            </w:r>
          </w:p>
        </w:tc>
        <w:tc>
          <w:tcPr>
            <w:tcW w:type="dxa" w:w="30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Number of Short Closes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Fear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$207.68</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9,212</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Extreme Fear</w:t>
            </w:r>
          </w:p>
        </w:tc>
        <w:tc>
          <w:tcPr>
            <w:tcW w:type="dxa" w:w="3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$123.40</w:t>
            </w:r>
          </w:p>
        </w:tc>
        <w:tc>
          <w:tcPr>
            <w:tcW w:type="dxa" w:w="30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3,117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Neutral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$94.81</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5,849</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Greed</w:t>
            </w:r>
          </w:p>
        </w:tc>
        <w:tc>
          <w:tcPr>
            <w:tcW w:type="dxa" w:w="3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$55.21</w:t>
            </w:r>
          </w:p>
        </w:tc>
        <w:tc>
          <w:tcPr>
            <w:tcW w:type="dxa" w:w="30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11,319</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Extreme Greed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$29.01</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6,489</w:t>
            </w:r>
          </w:p>
        </w:tc>
      </w:tr>
    </w:tbl>
    <w:p>
      <w:pPr>
        <w:spacing w:after="60" w:before="60"/>
      </w:pPr>
    </w:p>
    <w:p>
      <w:pPr>
        <w:spacing w:after="120" w:before="80" w:line="320"/>
        <w:jc w:val="both"/>
      </w:pPr>
      <w:r>
        <w:rPr>
          <w:rFonts w:ascii="Arial" w:cs="Arial" w:eastAsia="Arial" w:hAnsi="Arial"/>
          <w:sz w:val="22"/>
          <w:szCs w:val="22"/>
        </w:rPr>
        <w:t xml:space="preserve">Short exits during Fear deliver 7.2× higher average PnL than the same trade type during Extreme Greed. This is the single clearest actionable signal in the dataset: traders who position short before or during fear regimes and exit during peak fear conditions capture the most value.</w:t>
      </w:r>
    </w:p>
    <w:p>
      <w:pPr>
        <w:pStyle w:val="Heading2"/>
        <w:spacing w:after="120" w:before="240"/>
      </w:pPr>
      <w:r>
        <w:rPr>
          <w:rFonts w:ascii="Arial" w:cs="Arial" w:eastAsia="Arial" w:hAnsi="Arial"/>
          <w:b/>
          <w:bCs/>
          <w:color w:val="2E75B6"/>
          <w:sz w:val="26"/>
          <w:szCs w:val="26"/>
        </w:rPr>
        <w:t xml:space="preserve">5.3 Volume &amp; Trade Sizing by Sentiment</w:t>
      </w:r>
    </w:p>
    <w:p>
      <w:pPr>
        <w:spacing w:after="120" w:before="80" w:line="320"/>
        <w:jc w:val="both"/>
      </w:pPr>
      <w:r>
        <w:rPr>
          <w:rFonts w:ascii="Arial" w:cs="Arial" w:eastAsia="Arial" w:hAnsi="Arial"/>
          <w:sz w:val="22"/>
          <w:szCs w:val="22"/>
        </w:rPr>
        <w:t xml:space="preserve">Traders placed the most volume during Fear periods ($483M, 41% of total volume), and the largest average trade sizes ($7,816 per trade). This suggests that when the market is fearful, these traders are both more active and more aggressive with position sizes — a classic “buy the fear” or “short the panic” posture.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Sentiment</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Total Volume</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Avg Trade Size ($)</w:t>
            </w:r>
          </w:p>
        </w:tc>
        <w:tc>
          <w:tcPr>
            <w:tcW w:type="dxa" w:w="2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BUY Ratio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Extreme Fear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$114.5M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$5,350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51.1%</w:t>
            </w:r>
          </w:p>
        </w:tc>
      </w:tr>
      <w:tr>
        <w:tc>
          <w:tcPr>
            <w:tcW w:type="dxa" w:w="2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Fear</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$483.3M</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$7,816</w:t>
            </w:r>
          </w:p>
        </w:tc>
        <w:tc>
          <w:tcPr>
            <w:tcW w:type="dxa" w:w="2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49.0%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Neutral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$180.2M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$4,783</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50.3%</w:t>
            </w:r>
          </w:p>
        </w:tc>
      </w:tr>
      <w:tr>
        <w:tc>
          <w:tcPr>
            <w:tcW w:type="dxa" w:w="2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Greed</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$288.6M</w:t>
            </w:r>
          </w:p>
        </w:tc>
        <w:tc>
          <w:tcPr>
            <w:tcW w:type="dxa" w:w="2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$5,737</w:t>
            </w:r>
          </w:p>
        </w:tc>
        <w:tc>
          <w:tcPr>
            <w:tcW w:type="dxa" w:w="25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48.9%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Extreme Greed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$124.5M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$3,112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44.9%</w:t>
            </w:r>
          </w:p>
        </w:tc>
      </w:tr>
    </w:tbl>
    <w:p>
      <w:pPr>
        <w:spacing w:after="60" w:before="60"/>
      </w:pPr>
    </w:p>
    <w:p>
      <w:pPr>
        <w:spacing w:after="120" w:before="80" w:line="320"/>
        <w:jc w:val="both"/>
      </w:pPr>
      <w:r>
        <w:rPr>
          <w:rFonts w:ascii="Arial" w:cs="Arial" w:eastAsia="Arial" w:hAnsi="Arial"/>
          <w:sz w:val="22"/>
          <w:szCs w:val="22"/>
        </w:rPr>
        <w:t xml:space="preserve">The BUY ratio during Extreme Greed drops to 44.9% — meaning traders were net sellers at market euphoria peaks. This is consistent with a contrarian, profit-taking posture.</w:t>
      </w:r>
    </w:p>
    <w:p>
      <w:pPr>
        <w:pStyle w:val="Heading2"/>
        <w:spacing w:after="120" w:before="240"/>
      </w:pPr>
      <w:r>
        <w:rPr>
          <w:rFonts w:ascii="Arial" w:cs="Arial" w:eastAsia="Arial" w:hAnsi="Arial"/>
          <w:b/>
          <w:bCs/>
          <w:color w:val="2E75B6"/>
          <w:sz w:val="26"/>
          <w:szCs w:val="26"/>
        </w:rPr>
        <w:t xml:space="preserve">5.4 Sentiment-PnL Correlation</w:t>
      </w:r>
    </w:p>
    <w:p>
      <w:pPr>
        <w:spacing w:after="120" w:before="80" w:line="320"/>
        <w:jc w:val="both"/>
      </w:pPr>
      <w:r>
        <w:rPr>
          <w:rFonts w:ascii="Arial" w:cs="Arial" w:eastAsia="Arial" w:hAnsi="Arial"/>
          <w:sz w:val="22"/>
          <w:szCs w:val="22"/>
        </w:rPr>
        <w:t xml:space="preserve">The Pearson correlation between the daily Fear &amp; Greed Index value and total daily PnL across all traders is -0.08. This near-zero correlation confirms that raw sentiment level is not a reliable predictor of daily profitability. The direction of individual positions matters far more than the headline sentiment number.</w:t>
      </w:r>
    </w:p>
    <w:p>
      <w:pPr>
        <w:spacing w:after="60" w:before="60"/>
      </w:pPr>
    </w:p>
    <w:p>
      <w:pPr>
        <w:pStyle w:val="Heading1"/>
        <w:spacing w:after="160" w:before="320"/>
      </w:pPr>
      <w:r>
        <w:rPr>
          <w:rFonts w:ascii="Arial" w:cs="Arial" w:eastAsia="Arial" w:hAnsi="Arial"/>
          <w:b/>
          <w:bCs/>
          <w:color w:val="1F3864"/>
          <w:sz w:val="32"/>
          <w:szCs w:val="32"/>
        </w:rPr>
        <w:t xml:space="preserve">6. Per-Trader Performance</w:t>
      </w:r>
    </w:p>
    <w:p>
      <w:pPr>
        <w:pStyle w:val="Heading2"/>
        <w:spacing w:after="120" w:before="240"/>
      </w:pPr>
      <w:r>
        <w:rPr>
          <w:rFonts w:ascii="Arial" w:cs="Arial" w:eastAsia="Arial" w:hAnsi="Arial"/>
          <w:b/>
          <w:bCs/>
          <w:color w:val="2E75B6"/>
          <w:sz w:val="26"/>
          <w:szCs w:val="26"/>
        </w:rPr>
        <w:t xml:space="preserve">6.1 Trader Leaderboard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600"/>
        <w:gridCol w:w="1800"/>
        <w:gridCol w:w="1600"/>
        <w:gridCol w:w="1460"/>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Rank</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Wallet (Short)</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Total PnL</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Avg PnL/Trade</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Trade Count</w:t>
            </w:r>
          </w:p>
        </w:tc>
        <w:tc>
          <w:tcPr>
            <w:tcW w:type="dxa" w:w="14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PnL Share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0xb123...ed23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$2,143,383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$145.48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14,733</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20.8%</w:t>
            </w:r>
          </w:p>
        </w:tc>
      </w:tr>
      <w:tr>
        <w:tc>
          <w:tcPr>
            <w:tcW w:type="dxa" w:w="7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0x0833...9012</w:t>
            </w:r>
          </w:p>
        </w:tc>
        <w:tc>
          <w:tcPr>
            <w:tcW w:type="dxa" w:w="1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$1,600,230</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$419.13</w:t>
            </w:r>
          </w:p>
        </w:tc>
        <w:tc>
          <w:tcPr>
            <w:tcW w:type="dxa" w:w="1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3,818</w:t>
            </w:r>
          </w:p>
        </w:tc>
        <w:tc>
          <w:tcPr>
            <w:tcW w:type="dxa" w:w="14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15.5%</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0xbaaa...7864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$940,164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$44.36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21,192</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9.1%</w:t>
            </w:r>
          </w:p>
        </w:tc>
      </w:tr>
      <w:tr>
        <w:tc>
          <w:tcPr>
            <w:tcW w:type="dxa" w:w="7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0x513b...ff1</w:t>
            </w:r>
          </w:p>
        </w:tc>
        <w:tc>
          <w:tcPr>
            <w:tcW w:type="dxa" w:w="1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$840,423</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$68.68</w:t>
            </w:r>
          </w:p>
        </w:tc>
        <w:tc>
          <w:tcPr>
            <w:tcW w:type="dxa" w:w="1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12,236</w:t>
            </w:r>
          </w:p>
        </w:tc>
        <w:tc>
          <w:tcPr>
            <w:tcW w:type="dxa" w:w="14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8.2%</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0xbee1...aab</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$836,081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$20.81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40,184</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8.1%</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800"/>
        <w:gridCol w:w="2000"/>
        <w:gridCol w:w="2260"/>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Rank</w:t>
            </w:r>
          </w:p>
        </w:tc>
        <w:tc>
          <w:tcPr>
            <w:tcW w:type="dxa" w:w="2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Wallet (Short)</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Total PnL</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Avg PnL/Trade</w:t>
            </w:r>
          </w:p>
        </w:tc>
        <w:tc>
          <w:tcPr>
            <w:tcW w:type="dxa" w:w="22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Trade Count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30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0x3998...891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−$31,204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−$38.29</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815</w:t>
            </w:r>
          </w:p>
        </w:tc>
      </w:tr>
      <w:tr>
        <w:tc>
          <w:tcPr>
            <w:tcW w:type="dxa" w:w="7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31</w:t>
            </w:r>
          </w:p>
        </w:tc>
        <w:tc>
          <w:tcPr>
            <w:tcW w:type="dxa" w:w="26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0x271b...ab</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−$70,436</w:t>
            </w:r>
          </w:p>
        </w:tc>
        <w:tc>
          <w:tcPr>
            <w:tcW w:type="dxa" w:w="2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−$18.49</w:t>
            </w:r>
          </w:p>
        </w:tc>
        <w:tc>
          <w:tcPr>
            <w:tcW w:type="dxa" w:w="22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3,809</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32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0x8170...63b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−$167,621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−$36.43</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4,601</w:t>
            </w:r>
          </w:p>
        </w:tc>
      </w:tr>
    </w:tbl>
    <w:p>
      <w:pPr>
        <w:spacing w:after="60" w:before="60"/>
      </w:pPr>
    </w:p>
    <w:p>
      <w:pPr>
        <w:pStyle w:val="Heading2"/>
        <w:spacing w:after="120" w:before="240"/>
      </w:pPr>
      <w:r>
        <w:rPr>
          <w:rFonts w:ascii="Arial" w:cs="Arial" w:eastAsia="Arial" w:hAnsi="Arial"/>
          <w:b/>
          <w:bCs/>
          <w:color w:val="2E75B6"/>
          <w:sz w:val="26"/>
          <w:szCs w:val="26"/>
        </w:rPr>
        <w:t xml:space="preserve">6.2 Alpha Concentration</w:t>
      </w:r>
    </w:p>
    <w:p>
      <w:pPr>
        <w:spacing w:after="120" w:before="80" w:line="320"/>
        <w:jc w:val="both"/>
      </w:pPr>
      <w:r>
        <w:rPr>
          <w:rFonts w:ascii="Arial" w:cs="Arial" w:eastAsia="Arial" w:hAnsi="Arial"/>
          <w:sz w:val="22"/>
          <w:szCs w:val="22"/>
        </w:rPr>
        <w:t xml:space="preserve">The top two wallets captured $3.74M — approximately 36% of total pool profits. The top five collectively captured 61.7%. This extreme concentration indicates that a small number of skilled or well-capitalised traders are driving the majority of results, while the bottom 10 wallets contributed less than 5% of total PnL combined.</w:t>
      </w:r>
    </w:p>
    <w:p>
      <w:pPr>
        <w:spacing w:after="120" w:before="80" w:line="320"/>
        <w:jc w:val="both"/>
      </w:pPr>
      <w:r>
        <w:rPr>
          <w:rFonts w:ascii="Arial" w:cs="Arial" w:eastAsia="Arial" w:hAnsi="Arial"/>
          <w:sz w:val="22"/>
          <w:szCs w:val="22"/>
        </w:rPr>
        <w:t xml:space="preserve">The worst performing wallet (0x8170...) lost $167K primarily on TRUMP perpetuals during Greed-regime conditions — an example of trend-chasing at the worst possible sentiment timing.</w:t>
      </w:r>
    </w:p>
    <w:p>
      <w:pPr>
        <w:spacing w:after="60" w:before="60"/>
      </w:pPr>
    </w:p>
    <w:p>
      <w:pPr>
        <w:pStyle w:val="Heading1"/>
        <w:spacing w:after="160" w:before="320"/>
      </w:pPr>
      <w:r>
        <w:rPr>
          <w:rFonts w:ascii="Arial" w:cs="Arial" w:eastAsia="Arial" w:hAnsi="Arial"/>
          <w:b/>
          <w:bCs/>
          <w:color w:val="1F3864"/>
          <w:sz w:val="32"/>
          <w:szCs w:val="32"/>
        </w:rPr>
        <w:t xml:space="preserve">7. Key Findings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Finding</w:t>
            </w:r>
          </w:p>
        </w:tc>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Description</w:t>
            </w:r>
          </w:p>
        </w:tc>
        <w:tc>
          <w:tcPr>
            <w:tcW w:type="dxa" w:w="40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3864"/>
                <w:sz w:val="20"/>
                <w:szCs w:val="20"/>
              </w:rPr>
              <w:t xml:space="preserve">Implication</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Short exits pay most in Fear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Avg $208/trade when closing shorts during Fear vs $29 in Extreme Greed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Build short positions before fear peaks; exit during panic</w:t>
            </w:r>
          </w:p>
        </w:tc>
      </w:tr>
      <w:tr>
        <w:tc>
          <w:tcPr>
            <w:tcW w:type="dxa" w:w="21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High win rate ≠ high PnL</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Extreme Greed: 89.2% win rate but lower avg ticket than Fear</w:t>
            </w:r>
          </w:p>
        </w:tc>
        <w:tc>
          <w:tcPr>
            <w:tcW w:type="dxa" w:w="40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Optimise for expected value, not just win rate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Fear = highest activity &amp; sizing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$483M volume, $7,816 avg trade size in Fear regimes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Traders are most aggressive when markets are most fearful</w:t>
            </w:r>
          </w:p>
        </w:tc>
      </w:tr>
      <w:tr>
        <w:tc>
          <w:tcPr>
            <w:tcW w:type="dxa" w:w="21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Sentiment correlation is near zero</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r = -0.08 between daily index and daily PnL</w:t>
            </w:r>
          </w:p>
        </w:tc>
        <w:tc>
          <w:tcPr>
            <w:tcW w:type="dxa" w:w="40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Position direction matters more than headline sentiment</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sz w:val="20"/>
                <w:szCs w:val="20"/>
              </w:rPr>
              <w:t xml:space="preserve">Top-2 wallets = 36% of profits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Extreme alpha concentration across 32 wallets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Study the top 2 strategies for behavioural alpha</w:t>
            </w:r>
          </w:p>
        </w:tc>
      </w:tr>
      <w:tr>
        <w:tc>
          <w:tcPr>
            <w:tcW w:type="dxa" w:w="21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sz w:val="20"/>
                <w:szCs w:val="20"/>
              </w:rPr>
              <w:t xml:space="preserve">December 2024 outlier</w:t>
            </w:r>
          </w:p>
        </w:tc>
        <w:tc>
          <w:tcPr>
            <w:tcW w:type="dxa" w:w="3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$3.0M in a single month (29% of annual total)</w:t>
            </w:r>
          </w:p>
        </w:tc>
        <w:tc>
          <w:tcPr>
            <w:tcW w:type="dxa" w:w="40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center"/>
            </w:pPr>
            <w:r>
              <w:rPr>
                <w:rFonts w:ascii="Arial" w:cs="Arial" w:eastAsia="Arial" w:hAnsi="Arial"/>
                <w:sz w:val="20"/>
                <w:szCs w:val="20"/>
              </w:rPr>
              <w:t xml:space="preserve">Regime-shift events create outsized PnL opportunities</w:t>
            </w:r>
          </w:p>
        </w:tc>
      </w:tr>
    </w:tbl>
    <w:p>
      <w:pPr>
        <w:spacing w:after="60" w:before="60"/>
      </w:pPr>
    </w:p>
    <w:p>
      <w:pPr>
        <w:pStyle w:val="Heading1"/>
        <w:spacing w:after="160" w:before="320"/>
      </w:pPr>
      <w:r>
        <w:rPr>
          <w:rFonts w:ascii="Arial" w:cs="Arial" w:eastAsia="Arial" w:hAnsi="Arial"/>
          <w:b/>
          <w:bCs/>
          <w:color w:val="1F3864"/>
          <w:sz w:val="32"/>
          <w:szCs w:val="32"/>
        </w:rPr>
        <w:t xml:space="preserve">8. Strategy Recommendations</w:t>
      </w:r>
    </w:p>
    <w:p>
      <w:pPr>
        <w:spacing w:after="120" w:before="80" w:line="320"/>
        <w:jc w:val="both"/>
      </w:pPr>
      <w:r>
        <w:rPr>
          <w:rFonts w:ascii="Arial" w:cs="Arial" w:eastAsia="Arial" w:hAnsi="Arial"/>
          <w:sz w:val="22"/>
          <w:szCs w:val="22"/>
        </w:rPr>
        <w:t xml:space="preserve">Based on the patterns uncovered, the following sentiment-aware trading strategies are recommended:</w:t>
      </w:r>
    </w:p>
    <w:p>
      <w:pPr>
        <w:spacing w:after="60" w:before="60"/>
      </w:pPr>
    </w:p>
    <w:p>
      <w:pPr>
        <w:pStyle w:val="ListParagraph"/>
        <w:numPr>
          <w:ilvl w:val="0"/>
          <w:numId w:val="2"/>
        </w:numPr>
        <w:spacing w:after="60" w:before="60"/>
      </w:pPr>
      <w:r>
        <w:rPr>
          <w:rFonts w:ascii="Arial" w:cs="Arial" w:eastAsia="Arial" w:hAnsi="Arial"/>
          <w:b/>
          <w:bCs/>
          <w:sz w:val="22"/>
          <w:szCs w:val="22"/>
        </w:rPr>
        <w:t xml:space="preserve">Strategy 1 — Fear-Regime Short Exit: </w:t>
      </w:r>
      <w:r>
        <w:rPr>
          <w:rFonts w:ascii="Arial" w:cs="Arial" w:eastAsia="Arial" w:hAnsi="Arial"/>
          <w:sz w:val="22"/>
          <w:szCs w:val="22"/>
        </w:rPr>
        <w:t xml:space="preserve">Open short positions during Greed or Neutral conditions, then close them during Fear or Extreme Fear periods. This regime pairing produced the highest average per-trade PnL ($207) in the dataset.</w:t>
      </w:r>
    </w:p>
    <w:p>
      <w:pPr>
        <w:pStyle w:val="ListParagraph"/>
        <w:numPr>
          <w:ilvl w:val="0"/>
          <w:numId w:val="2"/>
        </w:numPr>
        <w:spacing w:after="60" w:before="60"/>
      </w:pPr>
      <w:r>
        <w:rPr>
          <w:rFonts w:ascii="Arial" w:cs="Arial" w:eastAsia="Arial" w:hAnsi="Arial"/>
          <w:b/>
          <w:bCs/>
          <w:sz w:val="22"/>
          <w:szCs w:val="22"/>
        </w:rPr>
        <w:t xml:space="preserve">Strategy 2 — Contrarian Sizing: </w:t>
      </w:r>
      <w:r>
        <w:rPr>
          <w:rFonts w:ascii="Arial" w:cs="Arial" w:eastAsia="Arial" w:hAnsi="Arial"/>
          <w:sz w:val="22"/>
          <w:szCs w:val="22"/>
        </w:rPr>
        <w:t xml:space="preserve">Increase position sizes during Fear regimes (when the index is below 40). The data shows that larger trades placed during Fear had the best average outcomes. Reduce sizing during Extreme Greed when win rates are high but ticket sizes drop.</w:t>
      </w:r>
    </w:p>
    <w:p>
      <w:pPr>
        <w:pStyle w:val="ListParagraph"/>
        <w:numPr>
          <w:ilvl w:val="0"/>
          <w:numId w:val="2"/>
        </w:numPr>
        <w:spacing w:after="60" w:before="60"/>
      </w:pPr>
      <w:r>
        <w:rPr>
          <w:rFonts w:ascii="Arial" w:cs="Arial" w:eastAsia="Arial" w:hAnsi="Arial"/>
          <w:b/>
          <w:bCs/>
          <w:sz w:val="22"/>
          <w:szCs w:val="22"/>
        </w:rPr>
        <w:t xml:space="preserve">Strategy 3 — Greed-Phase Long Accumulation: </w:t>
      </w:r>
      <w:r>
        <w:rPr>
          <w:rFonts w:ascii="Arial" w:cs="Arial" w:eastAsia="Arial" w:hAnsi="Arial"/>
          <w:sz w:val="22"/>
          <w:szCs w:val="22"/>
        </w:rPr>
        <w:t xml:space="preserve">Long positions closed during Greed conditions ($89 avg PnL) outperform those closed during Fear ($83). Consider accumulating longs during Extreme Fear and exiting in the Greed phase of the next cycle.</w:t>
      </w:r>
    </w:p>
    <w:p>
      <w:pPr>
        <w:pStyle w:val="ListParagraph"/>
        <w:numPr>
          <w:ilvl w:val="0"/>
          <w:numId w:val="2"/>
        </w:numPr>
        <w:spacing w:after="60" w:before="60"/>
      </w:pPr>
      <w:r>
        <w:rPr>
          <w:rFonts w:ascii="Arial" w:cs="Arial" w:eastAsia="Arial" w:hAnsi="Arial"/>
          <w:b/>
          <w:bCs/>
          <w:sz w:val="22"/>
          <w:szCs w:val="22"/>
        </w:rPr>
        <w:t xml:space="preserve">Strategy 4 — Avoid Trending with Extreme Greed: </w:t>
      </w:r>
      <w:r>
        <w:rPr>
          <w:rFonts w:ascii="Arial" w:cs="Arial" w:eastAsia="Arial" w:hAnsi="Arial"/>
          <w:sz w:val="22"/>
          <w:szCs w:val="22"/>
        </w:rPr>
        <w:t xml:space="preserve">The worst single trades in the dataset (including a $117K loss on ETH and an $83K loss on TRUMP) were all closed during Greed or Extreme Greed conditions. Late trend entry during euphoria is the clearest pattern among losing trades.</w:t>
      </w:r>
    </w:p>
    <w:p>
      <w:pPr>
        <w:pStyle w:val="ListParagraph"/>
        <w:numPr>
          <w:ilvl w:val="0"/>
          <w:numId w:val="2"/>
        </w:numPr>
        <w:spacing w:after="60" w:before="60"/>
      </w:pPr>
      <w:r>
        <w:rPr>
          <w:rFonts w:ascii="Arial" w:cs="Arial" w:eastAsia="Arial" w:hAnsi="Arial"/>
          <w:b/>
          <w:bCs/>
          <w:sz w:val="22"/>
          <w:szCs w:val="22"/>
        </w:rPr>
        <w:t xml:space="preserve">Strategy 5 — Watch Regime Transitions: </w:t>
      </w:r>
      <w:r>
        <w:rPr>
          <w:rFonts w:ascii="Arial" w:cs="Arial" w:eastAsia="Arial" w:hAnsi="Arial"/>
          <w:sz w:val="22"/>
          <w:szCs w:val="22"/>
        </w:rPr>
        <w:t xml:space="preserve">The largest PnL spikes (December 2024, February 2025) coincided with rapid sentiment shifts. Monitoring the rate of change in the Fear &amp; Greed Index, rather than just its level, may provide earlier signals for position sizing decisions.</w:t>
      </w:r>
    </w:p>
    <w:p>
      <w:pPr>
        <w:spacing w:after="60" w:before="60"/>
      </w:pPr>
    </w:p>
    <w:p>
      <w:pPr>
        <w:pStyle w:val="Heading1"/>
        <w:spacing w:after="160" w:before="320"/>
      </w:pPr>
      <w:r>
        <w:rPr>
          <w:rFonts w:ascii="Arial" w:cs="Arial" w:eastAsia="Arial" w:hAnsi="Arial"/>
          <w:b/>
          <w:bCs/>
          <w:color w:val="1F3864"/>
          <w:sz w:val="32"/>
          <w:szCs w:val="32"/>
        </w:rPr>
        <w:t xml:space="preserve">9. Limitations</w:t>
      </w:r>
    </w:p>
    <w:p>
      <w:pPr>
        <w:pStyle w:val="ListParagraph"/>
        <w:numPr>
          <w:ilvl w:val="0"/>
          <w:numId w:val="2"/>
        </w:numPr>
        <w:spacing w:after="60" w:before="60"/>
      </w:pPr>
      <w:r>
        <w:rPr>
          <w:rFonts w:ascii="Arial" w:cs="Arial" w:eastAsia="Arial" w:hAnsi="Arial"/>
          <w:sz w:val="22"/>
          <w:szCs w:val="22"/>
        </w:rPr>
        <w:t xml:space="preserve">The dataset contains only 32 wallets, which may not be representative of the broader Hyperliquid user base.</w:t>
      </w:r>
    </w:p>
    <w:p>
      <w:pPr>
        <w:pStyle w:val="ListParagraph"/>
        <w:numPr>
          <w:ilvl w:val="0"/>
          <w:numId w:val="2"/>
        </w:numPr>
        <w:spacing w:after="60" w:before="60"/>
      </w:pPr>
      <w:r>
        <w:rPr>
          <w:rFonts w:ascii="Arial" w:cs="Arial" w:eastAsia="Arial" w:hAnsi="Arial"/>
          <w:sz w:val="22"/>
          <w:szCs w:val="22"/>
        </w:rPr>
        <w:t xml:space="preserve">Leverage information was not used in this analysis; high-leverage trades inflate PnL variance in ways not captured here.</w:t>
      </w:r>
    </w:p>
    <w:p>
      <w:pPr>
        <w:pStyle w:val="ListParagraph"/>
        <w:numPr>
          <w:ilvl w:val="0"/>
          <w:numId w:val="2"/>
        </w:numPr>
        <w:spacing w:after="60" w:before="60"/>
      </w:pPr>
      <w:r>
        <w:rPr>
          <w:rFonts w:ascii="Arial" w:cs="Arial" w:eastAsia="Arial" w:hAnsi="Arial"/>
          <w:sz w:val="22"/>
          <w:szCs w:val="22"/>
        </w:rPr>
        <w:t xml:space="preserve">The Fear &amp; Greed Index reflects Bitcoin market sentiment specifically. Traders active in altcoins (HYPE, @107, SOL) may be responding to different market dynamics.</w:t>
      </w:r>
    </w:p>
    <w:p>
      <w:pPr>
        <w:pStyle w:val="ListParagraph"/>
        <w:numPr>
          <w:ilvl w:val="0"/>
          <w:numId w:val="2"/>
        </w:numPr>
        <w:spacing w:after="60" w:before="60"/>
      </w:pPr>
      <w:r>
        <w:rPr>
          <w:rFonts w:ascii="Arial" w:cs="Arial" w:eastAsia="Arial" w:hAnsi="Arial"/>
          <w:sz w:val="22"/>
          <w:szCs w:val="22"/>
        </w:rPr>
        <w:t xml:space="preserve">Causality cannot be established from correlation. Patterns may reflect skill, luck, or structural advantages (e.g. market maker positioning) rather than sentiment-driven decision-making.</w:t>
      </w:r>
    </w:p>
    <w:p>
      <w:pPr>
        <w:pStyle w:val="ListParagraph"/>
        <w:numPr>
          <w:ilvl w:val="0"/>
          <w:numId w:val="2"/>
        </w:numPr>
        <w:spacing w:after="60" w:before="60"/>
      </w:pPr>
      <w:r>
        <w:rPr>
          <w:rFonts w:ascii="Arial" w:cs="Arial" w:eastAsia="Arial" w:hAnsi="Arial"/>
          <w:sz w:val="22"/>
          <w:szCs w:val="22"/>
        </w:rPr>
        <w:t xml:space="preserve">December 2024 is a statistical outlier that meaningfully skews the annual totals. Conclusions about overall profitability should be considered with this context.</w:t>
      </w:r>
    </w:p>
    <w:p>
      <w:pPr>
        <w:spacing w:after="60" w:before="60"/>
      </w:pPr>
    </w:p>
    <w:p>
      <w:pPr>
        <w:pStyle w:val="Heading1"/>
        <w:spacing w:after="160" w:before="320"/>
      </w:pPr>
      <w:r>
        <w:rPr>
          <w:rFonts w:ascii="Arial" w:cs="Arial" w:eastAsia="Arial" w:hAnsi="Arial"/>
          <w:b/>
          <w:bCs/>
          <w:color w:val="1F3864"/>
          <w:sz w:val="32"/>
          <w:szCs w:val="32"/>
        </w:rPr>
        <w:t xml:space="preserve">10. Conclusion</w:t>
      </w:r>
    </w:p>
    <w:p>
      <w:pPr>
        <w:spacing w:after="120" w:before="80" w:line="320"/>
        <w:jc w:val="both"/>
      </w:pPr>
      <w:r>
        <w:rPr>
          <w:rFonts w:ascii="Arial" w:cs="Arial" w:eastAsia="Arial" w:hAnsi="Arial"/>
          <w:sz w:val="22"/>
          <w:szCs w:val="22"/>
        </w:rPr>
        <w:t xml:space="preserve">This analysis of 211,224 Hyperliquid trades merged against the Bitcoin Fear &amp; Greed Index reveals that market sentiment does influence trading outcomes, but not in a simple directional way. The raw sentiment index value has near-zero correlation with daily PnL. What matters is how traders position themselves within each regime.</w:t>
      </w:r>
    </w:p>
    <w:p>
      <w:pPr>
        <w:spacing w:after="120" w:before="80" w:line="320"/>
        <w:jc w:val="both"/>
      </w:pPr>
      <w:r>
        <w:rPr>
          <w:rFonts w:ascii="Arial" w:cs="Arial" w:eastAsia="Arial" w:hAnsi="Arial"/>
          <w:sz w:val="22"/>
          <w:szCs w:val="22"/>
        </w:rPr>
        <w:t xml:space="preserve">The clearest pattern in the data is that closing short positions during Fear periods generates the highest per-trade returns, while traders appear to act as contrarians at market peaks by increasing sell-side activity during Extreme Greed. Fear regimes also attract the highest trading volume and the largest position sizes, suggesting experienced traders recognise fear as an opportunity rather than a reason to step back.</w:t>
      </w:r>
    </w:p>
    <w:p>
      <w:pPr>
        <w:spacing w:after="120" w:before="80" w:line="320"/>
        <w:jc w:val="both"/>
      </w:pPr>
      <w:r>
        <w:rPr>
          <w:rFonts w:ascii="Arial" w:cs="Arial" w:eastAsia="Arial" w:hAnsi="Arial"/>
          <w:sz w:val="22"/>
          <w:szCs w:val="22"/>
        </w:rPr>
        <w:t xml:space="preserve">For any strategy leveraging these insights, the most practical takeaway is this: sentiment regime should inform position sizing and exit timing, not entry signals in isolation. The best outcomes in this dataset came from traders who had already built positions before the sentiment extremes, then acted during peak fear or peak greed rather than reacting to them.</w:t>
      </w:r>
    </w:p>
    <w:p>
      <w:pPr>
        <w:pBdr>
          <w:bottom w:val="single" w:color="2E75B6" w:sz="4" w:space="1"/>
        </w:pBdr>
        <w:spacing w:after="160" w:before="160"/>
      </w:pPr>
    </w:p>
    <w:p>
      <w:pPr>
        <w:spacing w:after="0" w:before="120"/>
        <w:jc w:val="center"/>
      </w:pPr>
      <w:r>
        <w:rPr>
          <w:rFonts w:ascii="Arial" w:cs="Arial" w:eastAsia="Arial" w:hAnsi="Arial"/>
          <w:i/>
          <w:iCs/>
          <w:color w:val="888888"/>
          <w:sz w:val="18"/>
          <w:szCs w:val="18"/>
        </w:rPr>
        <w:t xml:space="preserve">Analysis conducted for Data Science Internship Assessment</w:t>
      </w:r>
    </w:p>
    <w:p>
      <w:pPr>
        <w:spacing w:after="0" w:before="40"/>
        <w:jc w:val="center"/>
      </w:pPr>
      <w:r>
        <w:rPr>
          <w:rFonts w:ascii="Arial" w:cs="Arial" w:eastAsia="Arial" w:hAnsi="Arial"/>
          <w:i/>
          <w:iCs/>
          <w:color w:val="888888"/>
          <w:sz w:val="18"/>
          <w:szCs w:val="18"/>
        </w:rPr>
        <w:t xml:space="preserve">Datasets: fear_greed_index.csv × historical_data.csv  |  Tools: Python, Pandas, Matplotlib, Seaborn, Plotly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2026-06-08T07:28:46.901Z</dcterms:created>
  <dcterms:modified xsi:type="dcterms:W3CDTF">2026-06-08T07:28:46.902Z</dcterms:modified>
</cp:coreProperties>
</file>

<file path=docProps/custom.xml><?xml version="1.0" encoding="utf-8"?>
<Properties xmlns="http://schemas.openxmlformats.org/officeDocument/2006/custom-properties" xmlns:vt="http://schemas.openxmlformats.org/officeDocument/2006/docPropsVTypes"/>
</file>