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Team Coral AI Usage Report</w:t>
      </w:r>
    </w:p>
    <w:p>
      <w:pPr>
        <w:pStyle w:val="FirstParagraph"/>
      </w:pPr>
      <w:r>
        <w:rPr>
          <w:b/>
          <w:bCs/>
        </w:rPr>
        <w:t xml:space="preserve">AI Tool Used: Gemini 3.1 Pro</w:t>
      </w:r>
    </w:p>
    <w:p>
      <w:r>
        <w:pict>
          <v:rect style="width:0;height:1.5pt" o:hralign="center" o:hrstd="t" o:hr="t"/>
        </w:pict>
      </w:r>
    </w:p>
    <w:bookmarkStart w:id="9" w:name="prompting-strategies"/>
    <w:p>
      <w:pPr>
        <w:pStyle w:val="Heading2"/>
      </w:pPr>
      <w:r>
        <w:t xml:space="preserve">1. Prompting Strategies</w:t>
      </w:r>
    </w:p>
    <w:p>
      <w:pPr>
        <w:pStyle w:val="FirstParagraph"/>
      </w:pPr>
      <w:r>
        <w:t xml:space="preserve">Our team utilised a highly specific, context-driven, and multimodal prompting strategy to interact with the generative AI tool. Rather than asking open-ended programming questions, we framed our prompts around explicit goals and provided relevant contextual constraints. For example, when addressing data cleaning, we went through the dataset and discovered that missing values were represented by dashes rather than standard</w:t>
      </w:r>
      <w:r>
        <w:t xml:space="preserve"> </w:t>
      </w:r>
      <w:r>
        <w:rPr>
          <w:rStyle w:val="VerbatimChar"/>
        </w:rPr>
        <w:t xml:space="preserve">NA</w:t>
      </w:r>
      <w:r>
        <w:t xml:space="preserve"> </w:t>
      </w:r>
      <w:r>
        <w:t xml:space="preserve">markers. Consequently, as seen in</w:t>
      </w:r>
      <w:r>
        <w:t xml:space="preserve"> </w:t>
      </w:r>
      <w:r>
        <w:rPr>
          <w:b/>
          <w:bCs/>
        </w:rPr>
        <w:t xml:space="preserve">Interaction 3</w:t>
      </w:r>
      <w:r>
        <w:t xml:space="preserve">, we specified the characteristics of the dataset (Changi station historical daily weather CSV) and instructed the AI to identify missing data by targeting troublesome characters, such as em-dashes (</w:t>
      </w:r>
      <w:r>
        <w:rPr>
          <w:rStyle w:val="VerbatimChar"/>
        </w:rPr>
        <w:t xml:space="preserve">—</w:t>
      </w:r>
      <w:r>
        <w:t xml:space="preserve">) and en-dashes (</w:t>
      </w:r>
      <w:r>
        <w:rPr>
          <w:rStyle w:val="VerbatimChar"/>
        </w:rPr>
        <w:t xml:space="preserve">–</w:t>
      </w:r>
      <w:r>
        <w:t xml:space="preserve">).</w:t>
      </w:r>
    </w:p>
    <w:p>
      <w:pPr>
        <w:pStyle w:val="BodyText"/>
      </w:pPr>
      <w:r>
        <w:t xml:space="preserve">We also actively designated the AI as a critical reviewer. Referring to</w:t>
      </w:r>
      <w:r>
        <w:t xml:space="preserve"> </w:t>
      </w:r>
      <w:r>
        <w:rPr>
          <w:b/>
          <w:bCs/>
        </w:rPr>
        <w:t xml:space="preserve">Interaction 2</w:t>
      </w:r>
      <w:r>
        <w:t xml:space="preserve">, when drafting our design brief, we presented our initial target audience and goals, explicitly asking:</w:t>
      </w:r>
    </w:p>
    <w:p>
      <w:pPr>
        <w:pStyle w:val="BlockText"/>
      </w:pPr>
      <w:r>
        <w:t xml:space="preserve">“Is this audience and task clear enough? suggest how we can make it more specific.”</w:t>
      </w:r>
    </w:p>
    <w:p>
      <w:pPr>
        <w:pStyle w:val="FirstParagraph"/>
      </w:pPr>
      <w:r>
        <w:t xml:space="preserve">This forced the model to evaluate our logic rather than just generate text. Similarly, when evaluating the original published chart in</w:t>
      </w:r>
      <w:r>
        <w:t xml:space="preserve"> </w:t>
      </w:r>
      <w:r>
        <w:rPr>
          <w:b/>
          <w:bCs/>
        </w:rPr>
        <w:t xml:space="preserve">Interaction 6</w:t>
      </w:r>
      <w:r>
        <w:t xml:space="preserve">, we shared our team’s initial evaluation of its strengths and weaknesses. However, because the AI’s initial response provided generic feedback that could apply to almost any graph, we immediately refined our prompt in</w:t>
      </w:r>
      <w:r>
        <w:t xml:space="preserve"> </w:t>
      </w:r>
      <w:r>
        <w:rPr>
          <w:b/>
          <w:bCs/>
        </w:rPr>
        <w:t xml:space="preserve">Interaction 7</w:t>
      </w:r>
      <w:r>
        <w:t xml:space="preserve">, instructing the AI to</w:t>
      </w:r>
      <w:r>
        <w:t xml:space="preserve"> </w:t>
      </w:r>
      <w:r>
        <w:t xml:space="preserve">“focus only on problems that affect the reader’s ability to compare monthly rainfall across many years.”</w:t>
      </w:r>
      <w:r>
        <w:t xml:space="preserve"> </w:t>
      </w:r>
      <w:r>
        <w:t xml:space="preserve">This forced the model to evaluate the logic behind the analysis rather than just generating boilerplate design rules.</w:t>
      </w:r>
    </w:p>
    <w:p>
      <w:pPr>
        <w:pStyle w:val="BodyText"/>
      </w:pPr>
      <w:r>
        <w:t xml:space="preserve">We also incorporated visual aids and real-world feedback into our prompts as observed in</w:t>
      </w:r>
      <w:r>
        <w:t xml:space="preserve"> </w:t>
      </w:r>
      <w:r>
        <w:rPr>
          <w:b/>
          <w:bCs/>
        </w:rPr>
        <w:t xml:space="preserve">Interaction 1</w:t>
      </w:r>
      <w:r>
        <w:t xml:space="preserve"> </w:t>
      </w:r>
      <w:r>
        <w:t xml:space="preserve">and</w:t>
      </w:r>
      <w:r>
        <w:t xml:space="preserve"> </w:t>
      </w:r>
      <w:r>
        <w:rPr>
          <w:b/>
          <w:bCs/>
        </w:rPr>
        <w:t xml:space="preserve">Interaction 10</w:t>
      </w:r>
      <w:r>
        <w:t xml:space="preserve">. When an initial visualisation proved suboptimal, we shared that context directly with the AI. For instance, in</w:t>
      </w:r>
      <w:r>
        <w:t xml:space="preserve"> </w:t>
      </w:r>
      <w:r>
        <w:rPr>
          <w:b/>
          <w:bCs/>
        </w:rPr>
        <w:t xml:space="preserve">Interaction 10</w:t>
      </w:r>
      <w:r>
        <w:t xml:space="preserve">, after our professor noted that our generated stacked bar chart was</w:t>
      </w:r>
      <w:r>
        <w:t xml:space="preserve"> </w:t>
      </w:r>
      <w:r>
        <w:t xml:space="preserve">“visually cluttering,”</w:t>
      </w:r>
      <w:r>
        <w:t xml:space="preserve"> </w:t>
      </w:r>
      <w:r>
        <w:t xml:space="preserve">we uploaded a screenshot of the stacked bar chart alongside the professor’s exact critique. Providing both visual evidence and context allowed the AI to understand the design flaw and suggest more effective and purposeful alternatives.</w:t>
      </w:r>
    </w:p>
    <w:p>
      <w:pPr>
        <w:pStyle w:val="BodyText"/>
      </w:pPr>
      <w:r>
        <w:t xml:space="preserve">Finally, we guided the AI by dictating the specific R packages we intended to use, such as requesting solutions utilising</w:t>
      </w:r>
      <w:r>
        <w:t xml:space="preserve"> </w:t>
      </w:r>
      <w:r>
        <w:rPr>
          <w:rStyle w:val="VerbatimChar"/>
        </w:rPr>
        <w:t xml:space="preserve">dplyr</w:t>
      </w:r>
      <w:r>
        <w:t xml:space="preserve">,</w:t>
      </w:r>
      <w:r>
        <w:t xml:space="preserve"> </w:t>
      </w:r>
      <w:r>
        <w:rPr>
          <w:rStyle w:val="VerbatimChar"/>
        </w:rPr>
        <w:t xml:space="preserve">tidyr</w:t>
      </w:r>
      <w:r>
        <w:t xml:space="preserve">, and</w:t>
      </w:r>
      <w:r>
        <w:t xml:space="preserve"> </w:t>
      </w:r>
      <w:r>
        <w:rPr>
          <w:rStyle w:val="VerbatimChar"/>
        </w:rPr>
        <w:t xml:space="preserve">lubridate</w:t>
      </w:r>
      <w:r>
        <w:t xml:space="preserve">. By defining the expected output formats, we reduced AI hallucinations and minimised the need for multiple iterative corrections.</w:t>
      </w:r>
    </w:p>
    <w:p>
      <w:r>
        <w:pict>
          <v:rect style="width:0;height:1.5pt" o:hralign="center" o:hrstd="t" o:hr="t"/>
        </w:pict>
      </w:r>
    </w:p>
    <w:bookmarkEnd w:id="9"/>
    <w:bookmarkStart w:id="10" w:name="influence-on-design-decisions"/>
    <w:p>
      <w:pPr>
        <w:pStyle w:val="Heading2"/>
      </w:pPr>
      <w:r>
        <w:t xml:space="preserve">2. Influence on Design Decisions</w:t>
      </w:r>
    </w:p>
    <w:p>
      <w:pPr>
        <w:pStyle w:val="FirstParagraph"/>
      </w:pPr>
      <w:r>
        <w:t xml:space="preserve">The AI tool significantly shaped our data processing pipeline and conceptual framework in three specific instances:</w:t>
      </w:r>
    </w:p>
    <w:p>
      <w:pPr>
        <w:pStyle w:val="Compact"/>
        <w:numPr>
          <w:ilvl w:val="0"/>
          <w:numId w:val="1001"/>
        </w:numPr>
      </w:pPr>
      <w:r>
        <w:rPr>
          <w:b/>
          <w:bCs/>
        </w:rPr>
        <w:t xml:space="preserve">Refining Target Audience and Task Scope:</w:t>
      </w:r>
      <w:r>
        <w:t xml:space="preserve"> </w:t>
      </w:r>
      <w:r>
        <w:t xml:space="preserve">Initially, our design brief targeted a broad audience of students and residents for general historical observation as seen in</w:t>
      </w:r>
      <w:r>
        <w:t xml:space="preserve"> </w:t>
      </w:r>
      <w:r>
        <w:rPr>
          <w:b/>
          <w:bCs/>
        </w:rPr>
        <w:t xml:space="preserve">Interaction 2</w:t>
      </w:r>
      <w:r>
        <w:t xml:space="preserve">. By asking the AI to critique our task clarity, the model highlighted a critical difference between casual observation and decision-focused information, introducing urban planners and policymakers into the discussion. This insight fundamentally shifted our project direction. We ultimately pivoted to make urban planners, policymakers, and environmental agencies our primary audience. Consequently, we redesigned our visualisation’s core objective to highlight heavy and extreme rainfall periods across months and years, specifically to support practical applications like drainage planning, flood-prevention discussions, and public communication.</w:t>
      </w:r>
    </w:p>
    <w:p>
      <w:pPr>
        <w:pStyle w:val="Compact"/>
        <w:numPr>
          <w:ilvl w:val="0"/>
          <w:numId w:val="1001"/>
        </w:numPr>
      </w:pPr>
      <w:r>
        <w:rPr>
          <w:b/>
          <w:bCs/>
        </w:rPr>
        <w:t xml:space="preserve">Handling Non-Standard NA Characters:</w:t>
      </w:r>
      <w:r>
        <w:t xml:space="preserve"> </w:t>
      </w:r>
      <w:r>
        <w:t xml:space="preserve">We originally planned to handle missing values by loading the raw data and running custom data transformation scripts across all columns. However, the AI suggested a change in the pipeline for data transformation, which is to filter specific Unicode characters directly via the</w:t>
      </w:r>
      <w:r>
        <w:t xml:space="preserve"> </w:t>
      </w:r>
      <w:r>
        <w:rPr>
          <w:rStyle w:val="VerbatimChar"/>
        </w:rPr>
        <w:t xml:space="preserve">na.strings</w:t>
      </w:r>
      <w:r>
        <w:t xml:space="preserve"> </w:t>
      </w:r>
      <w:r>
        <w:t xml:space="preserve">parameter within the</w:t>
      </w:r>
      <w:r>
        <w:t xml:space="preserve"> </w:t>
      </w:r>
      <w:r>
        <w:rPr>
          <w:rStyle w:val="VerbatimChar"/>
        </w:rPr>
        <w:t xml:space="preserve">read.csv</w:t>
      </w:r>
      <w:r>
        <w:t xml:space="preserve"> </w:t>
      </w:r>
      <w:r>
        <w:t xml:space="preserve">function in</w:t>
      </w:r>
      <w:r>
        <w:t xml:space="preserve"> </w:t>
      </w:r>
      <w:r>
        <w:rPr>
          <w:b/>
          <w:bCs/>
        </w:rPr>
        <w:t xml:space="preserve">Interaction 3</w:t>
      </w:r>
      <w:r>
        <w:t xml:space="preserve">. We felt that this is an improvement because it filtered known artifacts at the data loading stage, simplifying transformations later in the pipeline.</w:t>
      </w:r>
    </w:p>
    <w:p>
      <w:pPr>
        <w:pStyle w:val="Compact"/>
        <w:numPr>
          <w:ilvl w:val="0"/>
          <w:numId w:val="1001"/>
        </w:numPr>
      </w:pPr>
      <w:r>
        <w:rPr>
          <w:b/>
          <w:bCs/>
        </w:rPr>
        <w:t xml:space="preserve">Pivoting to a Threshold-Based Flood-Stress Matrix:</w:t>
      </w:r>
      <w:r>
        <w:t xml:space="preserve"> </w:t>
      </w:r>
      <w:r>
        <w:t xml:space="preserve">After the AI validated our initial heatmap layout in</w:t>
      </w:r>
      <w:r>
        <w:t xml:space="preserve"> </w:t>
      </w:r>
      <w:r>
        <w:rPr>
          <w:b/>
          <w:bCs/>
        </w:rPr>
        <w:t xml:space="preserve">Interaction 15</w:t>
      </w:r>
      <w:r>
        <w:t xml:space="preserve">, our team identified a fundamental flaw: standard monthly rainfall totals hide critical extreme weather events (for example, 150 mm of monthly drizzle looks identical to a single 150 mm flash flood). We decided to change the core metric from aggregating monthly totals to counting</w:t>
      </w:r>
      <w:r>
        <w:t xml:space="preserve"> </w:t>
      </w:r>
      <w:r>
        <w:t xml:space="preserve">“heavy-rain days”</w:t>
      </w:r>
      <w:r>
        <w:t xml:space="preserve"> </w:t>
      </w:r>
      <w:r>
        <w:t xml:space="preserve">(</w:t>
      </w:r>
      <w:r>
        <w:rPr>
          <w:rStyle w:val="VerbatimChar"/>
        </w:rPr>
        <w:t xml:space="preserve">&gt;= 50 mm</w:t>
      </w:r>
      <w:r>
        <w:t xml:space="preserve">) and overlaying</w:t>
      </w:r>
      <w:r>
        <w:t xml:space="preserve"> </w:t>
      </w:r>
      <w:r>
        <w:t xml:space="preserve">“extreme-rain days”</w:t>
      </w:r>
      <w:r>
        <w:t xml:space="preserve"> </w:t>
      </w:r>
      <w:r>
        <w:t xml:space="preserve">(</w:t>
      </w:r>
      <w:r>
        <w:rPr>
          <w:rStyle w:val="VerbatimChar"/>
        </w:rPr>
        <w:t xml:space="preserve">&gt;= 100 mm</w:t>
      </w:r>
      <w:r>
        <w:t xml:space="preserve">). When we pitched this threshold matrix and an axis swap (years on x-axis, months on y-axis) to the AI in</w:t>
      </w:r>
      <w:r>
        <w:t xml:space="preserve"> </w:t>
      </w:r>
      <w:r>
        <w:rPr>
          <w:b/>
          <w:bCs/>
        </w:rPr>
        <w:t xml:space="preserve">Interaction 16</w:t>
      </w:r>
      <w:r>
        <w:t xml:space="preserve">, the AI confirmed that this approach directly solved our project goals and optimised the layout for wide poster dimensions.</w:t>
      </w:r>
    </w:p>
    <w:p>
      <w:r>
        <w:pict>
          <v:rect style="width:0;height:1.5pt" o:hralign="center" o:hrstd="t" o:hr="t"/>
        </w:pict>
      </w:r>
    </w:p>
    <w:bookmarkEnd w:id="10"/>
    <w:bookmarkStart w:id="11" w:name="corrections-and-rejections"/>
    <w:p>
      <w:pPr>
        <w:pStyle w:val="Heading2"/>
      </w:pPr>
      <w:r>
        <w:t xml:space="preserve">3. Corrections and Rejections</w:t>
      </w:r>
    </w:p>
    <w:p>
      <w:pPr>
        <w:pStyle w:val="FirstParagraph"/>
      </w:pPr>
      <w:r>
        <w:t xml:space="preserve">While the AI provided strong conceptual architectures, we had to critically refine its implementation to ensure it met our goals and coding standards.</w:t>
      </w:r>
    </w:p>
    <w:p>
      <w:pPr>
        <w:pStyle w:val="Compact"/>
        <w:numPr>
          <w:ilvl w:val="0"/>
          <w:numId w:val="1002"/>
        </w:numPr>
      </w:pPr>
      <w:r>
        <w:rPr>
          <w:b/>
          <w:bCs/>
        </w:rPr>
        <w:t xml:space="preserve">Rejecting Ineffective Visualisations:</w:t>
      </w:r>
      <w:r>
        <w:t xml:space="preserve"> </w:t>
      </w:r>
      <w:r>
        <w:t xml:space="preserve">In</w:t>
      </w:r>
      <w:r>
        <w:t xml:space="preserve"> </w:t>
      </w:r>
      <w:r>
        <w:rPr>
          <w:b/>
          <w:bCs/>
        </w:rPr>
        <w:t xml:space="preserve">Interaction 10</w:t>
      </w:r>
      <w:r>
        <w:t xml:space="preserve">, after we provided feedback that our stacked bar chart was visually cluttering, the AI suggested alternative ideas: faceted line charts, area under the graph, and lollipop charts. We coded these suggestions but ultimately rejected all of them. We realised they were not intuitive and failed to solve our primary target: identifying exactly when heavy and extreme rain periods occur across months and years. Rather than asking the AI for more blind generations, we conducted independent research and discovered heatmaps. We returned to the AI to correct its direction, pitching the heatmap as a fresh take alongside our specific ideas for the</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axes as seen in</w:t>
      </w:r>
      <w:r>
        <w:t xml:space="preserve"> </w:t>
      </w:r>
      <w:r>
        <w:rPr>
          <w:b/>
          <w:bCs/>
        </w:rPr>
        <w:t xml:space="preserve">Interactions 11 and 12</w:t>
      </w:r>
      <w:r>
        <w:t xml:space="preserve">. The AI validated this approach, and we shifted to using the tool to execute our independently researched design rather than relying on it for ideation.</w:t>
      </w:r>
    </w:p>
    <w:p>
      <w:pPr>
        <w:pStyle w:val="Compact"/>
        <w:numPr>
          <w:ilvl w:val="0"/>
          <w:numId w:val="1002"/>
        </w:numPr>
      </w:pPr>
      <w:r>
        <w:rPr>
          <w:b/>
          <w:bCs/>
        </w:rPr>
        <w:t xml:space="preserve">Addressing Heatmap Precision Limitations and Axis Crowding:</w:t>
      </w:r>
      <w:r>
        <w:t xml:space="preserve"> </w:t>
      </w:r>
      <w:r>
        <w:t xml:space="preserve">As seen in</w:t>
      </w:r>
      <w:r>
        <w:t xml:space="preserve"> </w:t>
      </w:r>
      <w:r>
        <w:rPr>
          <w:b/>
          <w:bCs/>
        </w:rPr>
        <w:t xml:space="preserve">Interactions 12 and 13</w:t>
      </w:r>
      <w:r>
        <w:t xml:space="preserve">, the AI pointed out a fundamental weakness of heatmaps: colour is less precise than length/position for reading exact values. To fix this without cluttering the plot with numbers, we used a tiered approach based on what we learned in</w:t>
      </w:r>
      <w:r>
        <w:t xml:space="preserve"> </w:t>
      </w:r>
      <w:r>
        <w:rPr>
          <w:b/>
          <w:bCs/>
        </w:rPr>
        <w:t xml:space="preserve">Interactions 13, 14, and 15</w:t>
      </w:r>
      <w:r>
        <w:t xml:space="preserve">. We implemented a 5-level discrete colour scale, adding a clear legend with physical units (mm), and overlaying clear point markers for extreme events. Furthermore, when the AI highlighted y-axis label crowding across 40+ years in</w:t>
      </w:r>
      <w:r>
        <w:t xml:space="preserve"> </w:t>
      </w:r>
      <w:r>
        <w:rPr>
          <w:b/>
          <w:bCs/>
        </w:rPr>
        <w:t xml:space="preserve">Interactions 14 and 15</w:t>
      </w:r>
      <w:r>
        <w:t xml:space="preserve">, we fixed this flaw by manually configuring</w:t>
      </w:r>
      <w:r>
        <w:t xml:space="preserve"> </w:t>
      </w:r>
      <w:r>
        <w:rPr>
          <w:rStyle w:val="VerbatimChar"/>
        </w:rPr>
        <w:t xml:space="preserve">scale_x_continuous()</w:t>
      </w:r>
      <w:r>
        <w:t xml:space="preserve"> </w:t>
      </w:r>
      <w:r>
        <w:t xml:space="preserve">to label every 5th year.</w:t>
      </w:r>
    </w:p>
    <w:p>
      <w:pPr>
        <w:pStyle w:val="Compact"/>
        <w:numPr>
          <w:ilvl w:val="0"/>
          <w:numId w:val="1002"/>
        </w:numPr>
      </w:pPr>
      <w:r>
        <w:rPr>
          <w:b/>
          <w:bCs/>
        </w:rPr>
        <w:t xml:space="preserve">Rejecting Scope Creep and Monolithic Utility Functions</w:t>
      </w:r>
      <w:r>
        <w:t xml:space="preserve">: In</w:t>
      </w:r>
      <w:r>
        <w:t xml:space="preserve"> </w:t>
      </w:r>
      <w:r>
        <w:rPr>
          <w:b/>
          <w:bCs/>
        </w:rPr>
        <w:t xml:space="preserve">Interaction 3</w:t>
      </w:r>
      <w:r>
        <w:t xml:space="preserve">, the AI provided a script to clean non-numeric text by defining a standalone</w:t>
      </w:r>
      <w:r>
        <w:t xml:space="preserve"> </w:t>
      </w:r>
      <w:r>
        <w:rPr>
          <w:rStyle w:val="VerbatimChar"/>
        </w:rPr>
        <w:t xml:space="preserve">parse_base_number</w:t>
      </w:r>
      <w:r>
        <w:t xml:space="preserve"> </w:t>
      </w:r>
      <w:r>
        <w:t xml:space="preserve">utility function, and suggested applying it across nine different columns, including wind speed and temperature using</w:t>
      </w:r>
      <w:r>
        <w:t xml:space="preserve"> </w:t>
      </w:r>
      <w:r>
        <w:rPr>
          <w:rStyle w:val="VerbatimChar"/>
        </w:rPr>
        <w:t xml:space="preserve">dplyr::across</w:t>
      </w:r>
      <w:r>
        <w:t xml:space="preserve">. We rejected this implementation because it cluttered the script with variables completely outside our project’s scope and created an unnecessary external function that made debugging harder when it failed. Instead of adopting the AI’s complicated architecture, we handled it by using the</w:t>
      </w:r>
      <w:r>
        <w:t xml:space="preserve"> </w:t>
      </w:r>
      <w:r>
        <w:rPr>
          <w:rStyle w:val="VerbatimChar"/>
        </w:rPr>
        <w:t xml:space="preserve">parse_double()</w:t>
      </w:r>
      <w:r>
        <w:t xml:space="preserve"> </w:t>
      </w:r>
      <w:r>
        <w:t xml:space="preserve">function directly within our</w:t>
      </w:r>
      <w:r>
        <w:t xml:space="preserve"> </w:t>
      </w:r>
      <w:r>
        <w:rPr>
          <w:rStyle w:val="VerbatimChar"/>
        </w:rPr>
        <w:t xml:space="preserve">mutate()</w:t>
      </w:r>
      <w:r>
        <w:t xml:space="preserve"> </w:t>
      </w:r>
      <w:r>
        <w:t xml:space="preserve">pipeline, and restricted it to apply on the</w:t>
      </w:r>
      <w:r>
        <w:t xml:space="preserve"> </w:t>
      </w:r>
      <w:r>
        <w:rPr>
          <w:rStyle w:val="VerbatimChar"/>
        </w:rPr>
        <w:t xml:space="preserve">daily_rainfall_total_mm</w:t>
      </w:r>
      <w:r>
        <w:t xml:space="preserve"> </w:t>
      </w:r>
      <w:r>
        <w:t xml:space="preserve">column.</w:t>
      </w:r>
    </w:p>
    <w:p>
      <w:r>
        <w:pict>
          <v:rect style="width:0;height:1.5pt" o:hralign="center" o:hrstd="t" o:hr="t"/>
        </w:pict>
      </w:r>
    </w:p>
    <w:bookmarkEnd w:id="11"/>
    <w:bookmarkStart w:id="12" w:name="ethical-and-accountable-use"/>
    <w:p>
      <w:pPr>
        <w:pStyle w:val="Heading2"/>
      </w:pPr>
      <w:r>
        <w:t xml:space="preserve">4. Ethical and Accountable Use</w:t>
      </w:r>
    </w:p>
    <w:p>
      <w:pPr>
        <w:pStyle w:val="FirstParagraph"/>
      </w:pPr>
      <w:r>
        <w:t xml:space="preserve">We maintained accountability by independently verifying all factual and technical claims generated by the AI. We reviewed the AI’s suggested data transformation pipelines in</w:t>
      </w:r>
      <w:r>
        <w:t xml:space="preserve"> </w:t>
      </w:r>
      <w:r>
        <w:rPr>
          <w:b/>
          <w:bCs/>
        </w:rPr>
        <w:t xml:space="preserve">Interactions 3, 4, and 5</w:t>
      </w:r>
      <w:r>
        <w:t xml:space="preserve"> </w:t>
      </w:r>
      <w:r>
        <w:t xml:space="preserve">to ensure they did not blindly hide underlying data errors. We integrated the AI’s contextual warning that our dataset only represents Changi station, clearly noting in our poster’s data section that the observations are specific to Changi to prevent geographical bias.</w:t>
      </w:r>
    </w:p>
    <w:p>
      <w:pPr>
        <w:pStyle w:val="BodyText"/>
      </w:pPr>
      <w:r>
        <w:t xml:space="preserve">As for attribution, the AI was utilised as an advisor to critique and refine the phrasing of our design brief (</w:t>
      </w:r>
      <w:r>
        <w:rPr>
          <w:b/>
          <w:bCs/>
        </w:rPr>
        <w:t xml:space="preserve">Interactions 2 and 8</w:t>
      </w:r>
      <w:r>
        <w:t xml:space="preserve">) and to brainstorm initial R architectures, but all final report text and project code were developed and heavily modified by the team. Finally, the main limitation we observed was the AI’s tendency to produce</w:t>
      </w:r>
      <w:r>
        <w:t xml:space="preserve"> </w:t>
      </w:r>
      <w:r>
        <w:t xml:space="preserve">“reasonable but ineffective”</w:t>
      </w:r>
      <w:r>
        <w:t xml:space="preserve"> </w:t>
      </w:r>
      <w:r>
        <w:t xml:space="preserve">code or cluttered layouts. While the model successfully generated stable scripts for stacked bar charts (</w:t>
      </w:r>
      <w:r>
        <w:rPr>
          <w:b/>
          <w:bCs/>
        </w:rPr>
        <w:t xml:space="preserve">Interaction 9</w:t>
      </w:r>
      <w:r>
        <w:t xml:space="preserve">) or utility functions (</w:t>
      </w:r>
      <w:r>
        <w:rPr>
          <w:b/>
          <w:bCs/>
        </w:rPr>
        <w:t xml:space="preserve">Interaction 3</w:t>
      </w:r>
      <w:r>
        <w:t xml:space="preserve">), these outputs often lacked human intuition, resulting in visually cluttered designs or overly complicated software architectures that required strict human intervention to correct. When evaluating our final heatmap layout in</w:t>
      </w:r>
      <w:r>
        <w:t xml:space="preserve"> </w:t>
      </w:r>
      <w:r>
        <w:rPr>
          <w:b/>
          <w:bCs/>
        </w:rPr>
        <w:t xml:space="preserve">Interaction 15</w:t>
      </w:r>
      <w:r>
        <w:t xml:space="preserve">, we carefully checked the AI’s feedback on it. This helped us stay accountable and make sure our design choices were easy to read and perfectly set up for a large printed poster.</w:t>
      </w:r>
    </w:p>
    <w:p>
      <w:r>
        <w:pict>
          <v:rect style="width:0;height:1.5pt" o:hralign="center" o:hrstd="t" o:hr="t"/>
        </w:pict>
      </w:r>
    </w:p>
    <w:bookmarkEnd w:id="12"/>
    <w:bookmarkStart w:id="13" w:name="tool-specification"/>
    <w:p>
      <w:pPr>
        <w:pStyle w:val="Heading2"/>
      </w:pPr>
      <w:r>
        <w:t xml:space="preserve">5. Tool Specification</w:t>
      </w:r>
    </w:p>
    <w:p>
      <w:pPr>
        <w:pStyle w:val="FirstParagraph"/>
      </w:pPr>
      <w:r>
        <w:t xml:space="preserve">A single generative AI conversational model (</w:t>
      </w:r>
      <w:r>
        <w:rPr>
          <w:b/>
          <w:bCs/>
        </w:rPr>
        <w:t xml:space="preserve">Gemini 3.1 Pro</w:t>
      </w:r>
      <w:r>
        <w:t xml:space="preserve">) was utilised across all interactions documented in</w:t>
      </w:r>
      <w:r>
        <w:t xml:space="preserve"> </w:t>
      </w:r>
      <w:r>
        <w:rPr>
          <w:rStyle w:val="VerbatimChar"/>
        </w:rPr>
        <w:t xml:space="preserve">ai-log.md</w:t>
      </w:r>
      <w:r>
        <w:t xml:space="preserve"> </w:t>
      </w:r>
      <w:r>
        <w:t xml:space="preserve">for R script generation, logic troubleshooting, and visualisation improvements.</w:t>
      </w:r>
    </w:p>
    <w:p>
      <w:pPr>
        <w:pStyle w:val="BodyText"/>
      </w:pPr>
      <w:r>
        <w:t xml:space="preserve">Total word count of AI Usage Report: 1,340 words</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Coral AI Usage Report</dc:title>
  <dc:creator/>
  <cp:keywords/>
  <dcterms:created xsi:type="dcterms:W3CDTF">2026-07-27T06:24:08Z</dcterms:created>
  <dcterms:modified xsi:type="dcterms:W3CDTF">2026-07-27T06:24:08Z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