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2632"/>
          <w:sz w:val="40"/>
        </w:rPr>
        <w:t>Hybrid Work Equipment Allowance 2026</w:t>
      </w:r>
    </w:p>
    <w:p>
      <w:pPr>
        <w:jc w:val="center"/>
      </w:pPr>
      <w:r>
        <w:rPr>
          <w:i/>
          <w:sz w:val="18"/>
        </w:rPr>
        <w:t>Synthetic demonstration document - no confidential company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HR-HWE-2026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HR Operations</w:t>
            </w:r>
          </w:p>
        </w:tc>
      </w:tr>
      <w:tr>
        <w:tc>
          <w:tcPr>
            <w:tcW w:type="dxa" w:w="4968"/>
          </w:tcPr>
          <w:p>
            <w:r>
              <w:t>Effective date</w:t>
            </w:r>
          </w:p>
        </w:tc>
        <w:tc>
          <w:tcPr>
            <w:tcW w:type="dxa" w:w="4968"/>
          </w:tcPr>
          <w:p>
            <w:r>
              <w:t>1 August 2026</w:t>
            </w:r>
          </w:p>
        </w:tc>
      </w:tr>
      <w:tr>
        <w:tc>
          <w:tcPr>
            <w:tcW w:type="dxa" w:w="4968"/>
          </w:tcPr>
          <w:p>
            <w:r>
              <w:t>Review cycle</w:t>
            </w:r>
          </w:p>
        </w:tc>
        <w:tc>
          <w:tcPr>
            <w:tcW w:type="dxa" w:w="4968"/>
          </w:tcPr>
          <w:p>
            <w:r>
              <w:t>Annual</w:t>
            </w:r>
          </w:p>
        </w:tc>
      </w:tr>
    </w:tbl>
    <w:p>
      <w:pPr>
        <w:pStyle w:val="Heading1"/>
        <w:spacing w:before="200" w:after="80"/>
      </w:pPr>
      <w:r>
        <w:t>Eligibility</w:t>
      </w:r>
    </w:p>
    <w:p>
      <w:pPr>
        <w:pStyle w:val="ListBullet"/>
      </w:pPr>
      <w:r>
        <w:t>Malaysia-based permanent employees become eligible after 90 completed days of service.</w:t>
      </w:r>
    </w:p>
    <w:p>
      <w:pPr>
        <w:pStyle w:val="ListBullet"/>
      </w:pPr>
      <w:r>
        <w:t>The allowance is RM 650 once in every rolling 24-month period.</w:t>
      </w:r>
    </w:p>
    <w:p>
      <w:pPr>
        <w:pStyle w:val="ListBullet"/>
      </w:pPr>
      <w:r>
        <w:t>Interns, contractors, and employees serving notice are not eligible.</w:t>
      </w:r>
    </w:p>
    <w:p>
      <w:pPr>
        <w:pStyle w:val="Heading1"/>
        <w:spacing w:before="200" w:after="80"/>
      </w:pPr>
      <w:r>
        <w:t>Claim process</w:t>
      </w:r>
    </w:p>
    <w:p>
      <w:pPr>
        <w:pStyle w:val="ListNumber"/>
      </w:pPr>
      <w:r>
        <w:t>Purchase approved equipment and retain an itemised receipt.</w:t>
      </w:r>
    </w:p>
    <w:p>
      <w:pPr>
        <w:pStyle w:val="ListNumber"/>
      </w:pPr>
      <w:r>
        <w:t>Submit form HWE-26 through Employee Portal &gt; Expenses within 30 calendar days of purchase.</w:t>
      </w:r>
    </w:p>
    <w:p>
      <w:pPr>
        <w:pStyle w:val="ListNumber"/>
      </w:pPr>
      <w:r>
        <w:t>The direct manager reviews business need before HR Operations completes the eligibility check.</w:t>
      </w:r>
    </w:p>
    <w:p>
      <w:pPr>
        <w:pStyle w:val="ListNumber"/>
      </w:pPr>
      <w:r>
        <w:t>Approved claims are paid in the next available payroll cycle.</w:t>
      </w:r>
    </w:p>
    <w:p>
      <w:pPr>
        <w:pStyle w:val="Heading1"/>
        <w:spacing w:before="200" w:after="80"/>
      </w:pPr>
      <w:r>
        <w:t>Covered equipment</w:t>
      </w:r>
    </w:p>
    <w:p>
      <w:pPr>
        <w:pStyle w:val="ListBullet"/>
      </w:pPr>
      <w:r>
        <w:t>Eligible: monitor, keyboard, mouse, webcam, headset, laptop stand, or docking station.</w:t>
      </w:r>
    </w:p>
    <w:p>
      <w:pPr>
        <w:pStyle w:val="ListBullet"/>
      </w:pPr>
      <w:r>
        <w:t>Not eligible: mobile phones, furniture, broadband fees, decorative items, or unitemised purchases.</w:t>
      </w:r>
    </w:p>
    <w:p>
      <w:pPr>
        <w:pStyle w:val="Heading1"/>
        <w:spacing w:before="200" w:after="80"/>
      </w:pPr>
      <w:r>
        <w:t>Key control</w:t>
      </w:r>
    </w:p>
    <w:p>
      <w:r>
        <w:rPr>
          <w:b/>
        </w:rPr>
        <w:t>Claims submitted after the 30-day deadline require written approval from the HR Operations Lead.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