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Design Guide</w:t>
      </w:r>
    </w:p>
    <w:p>
      <w:r>
        <w:t>Department: ENGINEERING</w:t>
      </w:r>
    </w:p>
    <w:p>
      <w:r>
        <w:t>Category: Guide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ENGINEERING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Public endpoints must return structured error details.</w:t>
      </w:r>
    </w:p>
    <w:p>
      <w:pPr>
        <w:pStyle w:val="ListBullet"/>
      </w:pPr>
      <w:r>
        <w:t>Pagination is required for list endpoints returning more than 100 records.</w:t>
      </w:r>
    </w:p>
    <w:p>
      <w:pPr>
        <w:pStyle w:val="ListBullet"/>
      </w:pPr>
      <w:r>
        <w:t>Breaking API changes require versioning and migration notice.</w:t>
      </w:r>
    </w:p>
    <w:p>
      <w:pPr>
        <w:pStyle w:val="ListBullet"/>
      </w:pPr>
      <w:r>
        <w:t>Backend authorization must not rely on frontend-only checks.</w:t>
      </w:r>
    </w:p>
    <w:p/>
    <w:p>
      <w:pPr>
        <w:pStyle w:val="Heading2"/>
      </w:pPr>
      <w:r>
        <w:t>Review And Ownership</w:t>
      </w:r>
    </w:p>
    <w:p>
      <w:r>
        <w:t>The ENGINEERING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'api design guide' should cite this source when the user has access to ENGINEERING.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