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Disciplinary Process Guide</w:t>
      </w:r>
    </w:p>
    <w:p>
      <w:r>
        <w:t>Department: HR</w:t>
      </w:r>
    </w:p>
    <w:p>
      <w:r>
        <w:t>Category: Guide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HR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Misconduct cases must be documented with dates, witnesses, and evidence.</w:t>
      </w:r>
    </w:p>
    <w:p>
      <w:pPr>
        <w:pStyle w:val="ListBullet"/>
      </w:pPr>
      <w:r>
        <w:t>HR must be consulted before issuing a written warning.</w:t>
      </w:r>
    </w:p>
    <w:p>
      <w:pPr>
        <w:pStyle w:val="ListBullet"/>
      </w:pPr>
      <w:r>
        <w:t>Serious misconduct may require immediate suspension pending investigation.</w:t>
      </w:r>
    </w:p>
    <w:p>
      <w:pPr>
        <w:pStyle w:val="ListBullet"/>
      </w:pPr>
      <w:r>
        <w:t>Final disciplinary outcomes are restricted to HR and approved management.</w:t>
      </w:r>
    </w:p>
    <w:p/>
    <w:p>
      <w:pPr>
        <w:pStyle w:val="Heading2"/>
      </w:pPr>
      <w:r>
        <w:t>Review And Ownership</w:t>
      </w:r>
    </w:p>
    <w:p>
      <w:r>
        <w:t>The HR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'disciplinary process guide' should cite this source when the user has access to HR.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