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Expense Claim Guide</w:t>
      </w:r>
    </w:p>
    <w:p>
      <w:r>
        <w:t>Department: HR</w:t>
      </w:r>
    </w:p>
    <w:p>
      <w:r>
        <w:t>Category: Guide</w:t>
      </w:r>
    </w:p>
    <w:p>
      <w:r>
        <w:t>Source: Synthetic Enterprise Knowledge Base</w:t>
      </w:r>
    </w:p>
    <w:p>
      <w:r>
        <w:t>Audience: Internal staff with approved department access</w:t>
      </w:r>
    </w:p>
    <w:p/>
    <w:p>
      <w:pPr>
        <w:pStyle w:val="Heading2"/>
      </w:pPr>
      <w:r>
        <w:t>Purpose</w:t>
      </w:r>
    </w:p>
    <w:p>
      <w:r>
        <w:t>This document provides department-specific guidance for HR staff and approved collaborators.</w:t>
      </w:r>
    </w:p>
    <w:p/>
    <w:p>
      <w:pPr>
        <w:pStyle w:val="Heading2"/>
      </w:pPr>
      <w:r>
        <w:t>Key Requirements</w:t>
      </w:r>
    </w:p>
    <w:p>
      <w:pPr>
        <w:pStyle w:val="ListBullet"/>
      </w:pPr>
      <w:r>
        <w:t>Expense claims must be submitted by the 5th working day of the following month.</w:t>
      </w:r>
    </w:p>
    <w:p>
      <w:pPr>
        <w:pStyle w:val="ListBullet"/>
      </w:pPr>
      <w:r>
        <w:t>Original receipts are required for claims above RM50.</w:t>
      </w:r>
    </w:p>
    <w:p>
      <w:pPr>
        <w:pStyle w:val="ListBullet"/>
      </w:pPr>
      <w:r>
        <w:t>Meal reimbursement during approved travel is capped at RM45 per meal.</w:t>
      </w:r>
    </w:p>
    <w:p>
      <w:pPr>
        <w:pStyle w:val="ListBullet"/>
      </w:pPr>
      <w:r>
        <w:t>Claims without project code are returned for correction.</w:t>
      </w:r>
    </w:p>
    <w:p/>
    <w:p>
      <w:pPr>
        <w:pStyle w:val="Heading2"/>
      </w:pPr>
      <w:r>
        <w:t>Review And Ownership</w:t>
      </w:r>
    </w:p>
    <w:p>
      <w:r>
        <w:t>The HR document owner reviews this content every 90 days or after a material process change.</w:t>
      </w:r>
    </w:p>
    <w:p>
      <w:r>
        <w:t>Outdated versions should be archived before the replacement version is indexed.</w:t>
      </w:r>
    </w:p>
    <w:p/>
    <w:p>
      <w:pPr>
        <w:pStyle w:val="Heading2"/>
      </w:pPr>
      <w:r>
        <w:t>RAG Test Notes</w:t>
      </w:r>
    </w:p>
    <w:p>
      <w:r>
        <w:t>Queries about 'expense claim guide' should cite this source when the user has access to HR.</w:t>
      </w:r>
    </w:p>
    <w:p>
      <w:r>
        <w:t>If a user from another department lacks permission, the system should not use this content in the answer.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