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Policy 2026</w:t>
      </w:r>
    </w:p>
    <w:p>
      <w:r>
        <w:t>Department: HR</w:t>
      </w:r>
    </w:p>
    <w:p>
      <w:r>
        <w:t>Category: Policy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HR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Annual leave requests should be submitted at least 7 calendar days in advance.</w:t>
      </w:r>
    </w:p>
    <w:p>
      <w:pPr>
        <w:pStyle w:val="ListBullet"/>
      </w:pPr>
      <w:r>
        <w:t>Medical leave requires a valid medical certificate for absences longer than one day.</w:t>
      </w:r>
    </w:p>
    <w:p>
      <w:pPr>
        <w:pStyle w:val="ListBullet"/>
      </w:pPr>
      <w:r>
        <w:t>Emergency leave must be reported to the line manager as soon as practical.</w:t>
      </w:r>
    </w:p>
    <w:p>
      <w:pPr>
        <w:pStyle w:val="ListBullet"/>
      </w:pPr>
      <w:r>
        <w:t>Unused annual leave carry-forward is capped at 5 days unless HR approves an exception.</w:t>
      </w:r>
    </w:p>
    <w:p/>
    <w:p>
      <w:pPr>
        <w:pStyle w:val="Heading2"/>
      </w:pPr>
      <w:r>
        <w:t>Review And Ownership</w:t>
      </w:r>
    </w:p>
    <w:p>
      <w:r>
        <w:t>The HR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'leave policy 2026' should cite this source when the user has access to HR.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