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Arrangement</w:t>
      </w:r>
    </w:p>
    <w:p>
      <w:r>
        <w:t>Department: HR</w:t>
      </w:r>
    </w:p>
    <w:p>
      <w:r>
        <w:t>Category: Policy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HR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Hybrid staff must be onsite at least two days per week unless approved otherwise.</w:t>
      </w:r>
    </w:p>
    <w:p>
      <w:pPr>
        <w:pStyle w:val="ListBullet"/>
      </w:pPr>
      <w:r>
        <w:t>Remote work outside Malaysia requires HR and Legal review.</w:t>
      </w:r>
    </w:p>
    <w:p>
      <w:pPr>
        <w:pStyle w:val="ListBullet"/>
      </w:pPr>
      <w:r>
        <w:t>Employees must keep company devices encrypted when working remotely.</w:t>
      </w:r>
    </w:p>
    <w:p>
      <w:pPr>
        <w:pStyle w:val="ListBullet"/>
      </w:pPr>
      <w:r>
        <w:t>Managers review remote-work arrangements every quarter.</w:t>
      </w:r>
    </w:p>
    <w:p/>
    <w:p>
      <w:pPr>
        <w:pStyle w:val="Heading2"/>
      </w:pPr>
      <w:r>
        <w:t>Review And Ownership</w:t>
      </w:r>
    </w:p>
    <w:p>
      <w:r>
        <w:t>The HR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'remote work arrangement' should cite this source when the user has access to HR.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