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Security Guide</w:t>
      </w:r>
    </w:p>
    <w:p>
      <w:r>
        <w:t>Department: IT</w:t>
      </w:r>
    </w:p>
    <w:p>
      <w:r>
        <w:t>Category: Guide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IT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Suspected phishing emails must be reported using the Report Phish button.</w:t>
      </w:r>
    </w:p>
    <w:p>
      <w:pPr>
        <w:pStyle w:val="ListBullet"/>
      </w:pPr>
      <w:r>
        <w:t>Users must not forward suspicious attachments to colleagues.</w:t>
      </w:r>
    </w:p>
    <w:p>
      <w:pPr>
        <w:pStyle w:val="ListBullet"/>
      </w:pPr>
      <w:r>
        <w:t>IT security reviews reported emails within one business day.</w:t>
      </w:r>
    </w:p>
    <w:p>
      <w:pPr>
        <w:pStyle w:val="ListBullet"/>
      </w:pPr>
      <w:r>
        <w:t>Credential prompts from unknown links must be treated as high risk.</w:t>
      </w:r>
    </w:p>
    <w:p/>
    <w:p>
      <w:pPr>
        <w:pStyle w:val="Heading2"/>
      </w:pPr>
      <w:r>
        <w:t>Review And Ownership</w:t>
      </w:r>
    </w:p>
    <w:p>
      <w:r>
        <w:t>The IT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'email security guide' should cite this source when the user has access to IT.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