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Advisory Board Notes</w:t>
      </w:r>
    </w:p>
    <w:p>
      <w:r>
        <w:t>Department: OPERATIONS</w:t>
      </w:r>
    </w:p>
    <w:p>
      <w:r>
        <w:t>Category: Notes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OPERATIONS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Standard changes may be pre-approved when risk is low and repeatable.</w:t>
      </w:r>
    </w:p>
    <w:p>
      <w:pPr>
        <w:pStyle w:val="ListBullet"/>
      </w:pPr>
      <w:r>
        <w:t>Emergency changes require post-implementation review.</w:t>
      </w:r>
    </w:p>
    <w:p>
      <w:pPr>
        <w:pStyle w:val="ListBullet"/>
      </w:pPr>
      <w:r>
        <w:t>CAB minutes must list decision, risk, owner, and implementation window.</w:t>
      </w:r>
    </w:p>
    <w:p>
      <w:pPr>
        <w:pStyle w:val="ListBullet"/>
      </w:pPr>
      <w:r>
        <w:t>Rejected changes should include a clear reason and resubmission path.</w:t>
      </w:r>
    </w:p>
    <w:p/>
    <w:p>
      <w:pPr>
        <w:pStyle w:val="Heading2"/>
      </w:pPr>
      <w:r>
        <w:t>Review And Ownership</w:t>
      </w:r>
    </w:p>
    <w:p>
      <w:r>
        <w:t>The OPERATIONS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'change advisory board notes' should cite this source when the user has access to OPERATIONS.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