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Operational Risk Register</w:t>
      </w:r>
    </w:p>
    <w:p>
      <w:r>
        <w:t>Department: OPERATIONS</w:t>
      </w:r>
    </w:p>
    <w:p>
      <w:r>
        <w:t>Category: Register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OPERATIONS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Risks are scored by likelihood and impact.</w:t>
      </w:r>
    </w:p>
    <w:p>
      <w:pPr>
        <w:pStyle w:val="ListBullet"/>
      </w:pPr>
      <w:r>
        <w:t>High risks require named mitigation owner and due date.</w:t>
      </w:r>
    </w:p>
    <w:p>
      <w:pPr>
        <w:pStyle w:val="ListBullet"/>
      </w:pPr>
      <w:r>
        <w:t>Residual risk is reviewed after mitigation is complete.</w:t>
      </w:r>
    </w:p>
    <w:p>
      <w:pPr>
        <w:pStyle w:val="ListBullet"/>
      </w:pPr>
      <w:r>
        <w:t>Risk register updates are reviewed monthly.</w:t>
      </w:r>
    </w:p>
    <w:p/>
    <w:p>
      <w:pPr>
        <w:pStyle w:val="Heading2"/>
      </w:pPr>
      <w:r>
        <w:t>Review And Ownership</w:t>
      </w:r>
    </w:p>
    <w:p>
      <w:r>
        <w:t>The OPERATIONS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'operational risk register' should cite this source when the user has access to OPERATIONS.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