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Classification Standard</w:t>
      </w:r>
    </w:p>
    <w:p>
      <w:r>
        <w:t>Department: SECURITY</w:t>
      </w:r>
    </w:p>
    <w:p>
      <w:r>
        <w:t>Category: Standard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SECURITY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Public, Internal, Confidential, and Restricted are the approved data classes.</w:t>
      </w:r>
    </w:p>
    <w:p>
      <w:pPr>
        <w:pStyle w:val="ListBullet"/>
      </w:pPr>
      <w:r>
        <w:t>Restricted data must not be uploaded to unmanaged personal storage.</w:t>
      </w:r>
    </w:p>
    <w:p>
      <w:pPr>
        <w:pStyle w:val="ListBullet"/>
      </w:pPr>
      <w:r>
        <w:t>Confidential files require approved sharing channels.</w:t>
      </w:r>
    </w:p>
    <w:p>
      <w:pPr>
        <w:pStyle w:val="ListBullet"/>
      </w:pPr>
      <w:r>
        <w:t>Classification labels should appear in document headers where practical.</w:t>
      </w:r>
    </w:p>
    <w:p/>
    <w:p>
      <w:pPr>
        <w:pStyle w:val="Heading2"/>
      </w:pPr>
      <w:r>
        <w:t>Review And Ownership</w:t>
      </w:r>
    </w:p>
    <w:p>
      <w:r>
        <w:t>The SECURITY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'data classification standard' should cite this source when the user has access to SECURITY.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