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Physical Security Guide</w:t>
      </w:r>
    </w:p>
    <w:p>
      <w:r>
        <w:t>Department: SECURITY</w:t>
      </w:r>
    </w:p>
    <w:p>
      <w:r>
        <w:t>Category: Guide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SECURITY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Visitors must wear badges and be escorted in restricted areas.</w:t>
      </w:r>
    </w:p>
    <w:p>
      <w:pPr>
        <w:pStyle w:val="ListBullet"/>
      </w:pPr>
      <w:r>
        <w:t>Tailgating through secured doors must be challenged politely.</w:t>
      </w:r>
    </w:p>
    <w:p>
      <w:pPr>
        <w:pStyle w:val="ListBullet"/>
      </w:pPr>
      <w:r>
        <w:t>Lost access cards must be reported immediately.</w:t>
      </w:r>
    </w:p>
    <w:p>
      <w:pPr>
        <w:pStyle w:val="ListBullet"/>
      </w:pPr>
      <w:r>
        <w:t>Server-room access is limited to authorized IT and facilities staff.</w:t>
      </w:r>
    </w:p>
    <w:p/>
    <w:p>
      <w:pPr>
        <w:pStyle w:val="Heading2"/>
      </w:pPr>
      <w:r>
        <w:t>Review And Ownership</w:t>
      </w:r>
    </w:p>
    <w:p>
      <w:r>
        <w:t>The SECURITY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'physical security guide' should cite this source when the user has access to SECURITY.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