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Security Review</w:t>
      </w:r>
    </w:p>
    <w:p>
      <w:r>
        <w:t>Department: SECURITY</w:t>
      </w:r>
    </w:p>
    <w:p>
      <w:r>
        <w:t>Category: Checklist</w:t>
      </w:r>
    </w:p>
    <w:p>
      <w:r>
        <w:t>Source: Synthetic Enterprise Knowledge Base</w:t>
      </w:r>
    </w:p>
    <w:p>
      <w:r>
        <w:t>Audience: Internal staff with approved department access</w:t>
      </w:r>
    </w:p>
    <w:p/>
    <w:p>
      <w:pPr>
        <w:pStyle w:val="Heading2"/>
      </w:pPr>
      <w:r>
        <w:t>Purpose</w:t>
      </w:r>
    </w:p>
    <w:p>
      <w:r>
        <w:t>This document provides department-specific guidance for SECURITY staff and approved collaborators.</w:t>
      </w:r>
    </w:p>
    <w:p/>
    <w:p>
      <w:pPr>
        <w:pStyle w:val="Heading2"/>
      </w:pPr>
      <w:r>
        <w:t>Key Requirements</w:t>
      </w:r>
    </w:p>
    <w:p>
      <w:pPr>
        <w:pStyle w:val="ListBullet"/>
      </w:pPr>
      <w:r>
        <w:t>New vendors handling confidential data require security assessment.</w:t>
      </w:r>
    </w:p>
    <w:p>
      <w:pPr>
        <w:pStyle w:val="ListBullet"/>
      </w:pPr>
      <w:r>
        <w:t>SOC 2, ISO 27001, or equivalent evidence should be requested when relevant.</w:t>
      </w:r>
    </w:p>
    <w:p>
      <w:pPr>
        <w:pStyle w:val="ListBullet"/>
      </w:pPr>
      <w:r>
        <w:t>High-risk findings require mitigation before go-live.</w:t>
      </w:r>
    </w:p>
    <w:p>
      <w:pPr>
        <w:pStyle w:val="ListBullet"/>
      </w:pPr>
      <w:r>
        <w:t>Vendor access must be removed when the contract ends.</w:t>
      </w:r>
    </w:p>
    <w:p/>
    <w:p>
      <w:pPr>
        <w:pStyle w:val="Heading2"/>
      </w:pPr>
      <w:r>
        <w:t>Review And Ownership</w:t>
      </w:r>
    </w:p>
    <w:p>
      <w:r>
        <w:t>The SECURITY document owner reviews this content every 90 days or after a material process change.</w:t>
      </w:r>
    </w:p>
    <w:p>
      <w:r>
        <w:t>Outdated versions should be archived before the replacement version is indexed.</w:t>
      </w:r>
    </w:p>
    <w:p/>
    <w:p>
      <w:pPr>
        <w:pStyle w:val="Heading2"/>
      </w:pPr>
      <w:r>
        <w:t>RAG Test Notes</w:t>
      </w:r>
    </w:p>
    <w:p>
      <w:r>
        <w:t>Queries about 'vendor security review' should cite this source when the user has access to SECURITY.</w:t>
      </w:r>
    </w:p>
    <w:p>
      <w:r>
        <w:t>If a user from another department lacks permission, the system should not use this content in the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