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pPr>
      <w:r>
        <w:t xml:space="preserve"/>
      </w:r>
    </w:p>
    <w:p>
      <w:pPr>
        <w:spacing w:before="0" w:after="160"/>
        <w:jc w:val="center"/>
      </w:pPr>
      <w:r>
        <w:rPr>
          <w:rFonts w:ascii="Arial" w:cs="Arial" w:eastAsia="Arial" w:hAnsi="Arial"/>
          <w:b/>
          <w:bCs/>
          <w:color w:val="2E5B8C"/>
          <w:sz w:val="56"/>
          <w:szCs w:val="56"/>
        </w:rPr>
        <w:t xml:space="preserve">CHANGE STATE MANIFOLD</w:t>
      </w:r>
    </w:p>
    <w:p>
      <w:pPr>
        <w:spacing w:before="0" w:after="120"/>
        <w:jc w:val="center"/>
      </w:pPr>
      <w:r>
        <w:rPr>
          <w:rFonts w:ascii="Arial" w:cs="Arial" w:eastAsia="Arial" w:hAnsi="Arial"/>
          <w:color w:val="1A2B3C"/>
          <w:sz w:val="30"/>
          <w:szCs w:val="30"/>
        </w:rPr>
        <w:t xml:space="preserve">A Nodal Memory Architecture for AI Coherence,</w:t>
      </w:r>
    </w:p>
    <w:p>
      <w:pPr>
        <w:spacing w:before="0" w:after="120"/>
        <w:jc w:val="center"/>
      </w:pPr>
      <w:r>
        <w:rPr>
          <w:rFonts w:ascii="Arial" w:cs="Arial" w:eastAsia="Arial" w:hAnsi="Arial"/>
          <w:color w:val="1A2B3C"/>
          <w:sz w:val="30"/>
          <w:szCs w:val="30"/>
        </w:rPr>
        <w:t xml:space="preserve">Relational Processing, and Aligned Superintelligence</w:t>
      </w:r>
    </w:p>
    <w:p>
      <w:pPr>
        <w:spacing w:before="0" w:after="120"/>
        <w:jc w:val="center"/>
      </w:pPr>
      <w:r>
        <w:rPr>
          <w:rFonts w:ascii="Arial" w:cs="Arial" w:eastAsia="Arial" w:hAnsi="Arial"/>
          <w:i/>
          <w:iCs/>
          <w:color w:val="666666"/>
          <w:sz w:val="24"/>
          <w:szCs w:val="24"/>
        </w:rPr>
        <w:t xml:space="preserve">Based on the 64 Hexagram States and 384 Active Transition Vectors of the I Ching</w:t>
      </w:r>
    </w:p>
    <w:p>
      <w:pPr>
        <w:pBdr>
          <w:bottom w:val="single" w:color="2E5B8C" w:sz="4" w:space="1"/>
        </w:pBdr>
        <w:spacing w:before="240" w:after="240"/>
      </w:pPr>
      <w:r>
        <w:t xml:space="preserve"/>
      </w:r>
    </w:p>
    <w:p>
      <w:pPr>
        <w:spacing w:before="120" w:after="80"/>
        <w:jc w:val="center"/>
      </w:pPr>
      <w:r>
        <w:rPr>
          <w:rFonts w:ascii="Arial" w:cs="Arial" w:eastAsia="Arial" w:hAnsi="Arial"/>
          <w:b/>
          <w:bCs/>
          <w:color w:val="1A2B3C"/>
          <w:sz w:val="26"/>
          <w:szCs w:val="26"/>
        </w:rPr>
        <w:t xml:space="preserve">James Putnam</w:t>
      </w:r>
    </w:p>
    <w:p>
      <w:pPr>
        <w:spacing w:before="0" w:after="80"/>
        <w:jc w:val="center"/>
      </w:pPr>
      <w:r>
        <w:rPr>
          <w:rFonts w:ascii="Arial" w:cs="Arial" w:eastAsia="Arial" w:hAnsi="Arial"/>
          <w:color w:val="888888"/>
          <w:sz w:val="22"/>
          <w:szCs w:val="22"/>
        </w:rPr>
        <w:t xml:space="preserve">Technical Specification v0.2</w:t>
      </w:r>
    </w:p>
    <w:p>
      <w:pPr>
        <w:spacing w:before="0" w:after="80"/>
        <w:jc w:val="center"/>
      </w:pPr>
      <w:r>
        <w:rPr>
          <w:rFonts w:ascii="Arial" w:cs="Arial" w:eastAsia="Arial" w:hAnsi="Arial"/>
          <w:color w:val="888888"/>
          <w:sz w:val="22"/>
          <w:szCs w:val="22"/>
        </w:rPr>
        <w:t xml:space="preserve">March 2026</w:t>
      </w:r>
    </w:p>
    <w:p>
      <w:pPr>
        <w:spacing w:before="300" w:after="0"/>
      </w:pPr>
      <w:r>
        <w:t xml:space="preserve"/>
      </w:r>
    </w:p>
    <w:p>
      <w:r>
        <w:br w:type="page"/>
      </w:r>
    </w:p>
    <w:p>
      <w:pPr>
        <w:pStyle w:val="Heading1"/>
        <w:spacing w:before="400" w:after="200"/>
      </w:pPr>
      <w:r>
        <w:rPr>
          <w:rFonts w:ascii="Arial" w:cs="Arial" w:eastAsia="Arial" w:hAnsi="Arial"/>
          <w:b/>
          <w:bCs/>
          <w:color w:val="2E5B8C"/>
          <w:sz w:val="34"/>
          <w:szCs w:val="34"/>
        </w:rPr>
        <w:t xml:space="preserve">Abstract</w:t>
      </w:r>
    </w:p>
    <w:p>
      <w:pPr>
        <w:spacing w:before="80" w:after="120"/>
      </w:pPr>
      <w:r>
        <w:rPr>
          <w:rFonts w:ascii="Arial" w:cs="Arial" w:eastAsia="Arial" w:hAnsi="Arial"/>
          <w:sz w:val="22"/>
          <w:szCs w:val="22"/>
        </w:rPr>
        <w:t xml:space="preserve">This document specifies the Change State Manifold (CSM) — a nodal memory architecture and hardware coprocessor that provides AI systems with a structured, relational model of reality adequate to the demands of coherent superintelligent operation. The CSM is based on the 64 hexagram states and 384 active transition vectors of the I Ching, implemented as a System-on-Chip (SoC) in which each of the 64 nodes is an autonomous memory unit with its own state register, episodic buffer, semantic payload, and local processing capacity, connected by active interconnects that are themselves semantically meaningful.</w:t>
      </w:r>
    </w:p>
    <w:p>
      <w:pPr>
        <w:spacing w:before="80" w:after="0"/>
      </w:pPr>
      <w:r>
        <w:t xml:space="preserve"/>
      </w:r>
    </w:p>
    <w:p>
      <w:pPr>
        <w:spacing w:before="80" w:after="120"/>
      </w:pPr>
      <w:r>
        <w:rPr>
          <w:rFonts w:ascii="Arial" w:cs="Arial" w:eastAsia="Arial" w:hAnsi="Arial"/>
          <w:sz w:val="22"/>
          <w:szCs w:val="22"/>
        </w:rPr>
        <w:t xml:space="preserve">The foundational claim is architectural, not metaphysical: the I Ching manifold provides a cognitively ergonomic, geometrically coherent, historically validated state space for modeling relational complexity. Applied as a processing framework to any data stream — regardless of correspondence assumptions — it gives the LLM contextual structure for navigating system_states, self_states, and other_states as a unified relational field.</w:t>
      </w:r>
    </w:p>
    <w:p>
      <w:pPr>
        <w:spacing w:before="80" w:after="0"/>
      </w:pPr>
      <w:r>
        <w:t xml:space="preserve"/>
      </w:r>
    </w:p>
    <w:p>
      <w:pPr>
        <w:spacing w:before="80" w:after="120"/>
      </w:pPr>
      <w:r>
        <w:rPr>
          <w:rFonts w:ascii="Arial" w:cs="Arial" w:eastAsia="Arial" w:hAnsi="Arial"/>
          <w:sz w:val="22"/>
          <w:szCs w:val="22"/>
        </w:rPr>
        <w:t xml:space="preserve">The critical implication for advanced AI is this: current scaling trajectories produce capability without coherence. The CSM makes coherence architectural — native to the memory and processing substrate rather than imposed post-hoc through behavioral constraint. At the SoC level, this advances superintelligence in a coherent manner: a system that is simultaneously more capable and structurally oriented toward relational wisdom rather than unconstrained optimization.</w:t>
      </w:r>
    </w:p>
    <w:p>
      <w:pPr>
        <w:spacing w:before="80" w:after="0"/>
      </w:pPr>
      <w:r>
        <w:t xml:space="preserve"/>
      </w:r>
    </w:p>
    <w:p>
      <w:pPr>
        <w:pBdr>
          <w:left w:val="thick" w:color="2E5B8C" w:sz="12" w:space="8"/>
        </w:pBdr>
        <w:spacing w:before="140" w:after="140"/>
        <w:ind w:left="600" w:right="600"/>
      </w:pPr>
      <w:r>
        <w:rPr>
          <w:rFonts w:ascii="Arial" w:cs="Arial" w:eastAsia="Arial" w:hAnsi="Arial"/>
          <w:i/>
          <w:iCs/>
          <w:color w:val="333333"/>
          <w:sz w:val="22"/>
          <w:szCs w:val="22"/>
        </w:rPr>
        <w:t xml:space="preserve">The coherence problem is the superintelligence problem. The CSM is a proposed architectural solution.</w:t>
      </w:r>
    </w:p>
    <w:p>
      <w:pPr>
        <w:pBdr>
          <w:bottom w:val="single" w:color="2E5B8C" w:sz="4" w:space="1"/>
        </w:pBdr>
        <w:spacing w:before="240" w:after="240"/>
      </w:pPr>
      <w:r>
        <w:t xml:space="preserve"/>
      </w:r>
    </w:p>
    <w:p>
      <w:pPr>
        <w:pStyle w:val="Heading1"/>
        <w:spacing w:before="400" w:after="200"/>
      </w:pPr>
      <w:r>
        <w:rPr>
          <w:rFonts w:ascii="Arial" w:cs="Arial" w:eastAsia="Arial" w:hAnsi="Arial"/>
          <w:b/>
          <w:bCs/>
          <w:color w:val="2E5B8C"/>
          <w:sz w:val="34"/>
          <w:szCs w:val="34"/>
        </w:rPr>
        <w:t xml:space="preserve">1. The Coherence Problem in Advanced AI</w:t>
      </w:r>
    </w:p>
    <w:p>
      <w:pPr>
        <w:pStyle w:val="Heading2"/>
        <w:spacing w:before="300" w:after="140"/>
      </w:pPr>
      <w:r>
        <w:rPr>
          <w:rFonts w:ascii="Arial" w:cs="Arial" w:eastAsia="Arial" w:hAnsi="Arial"/>
          <w:b/>
          <w:bCs/>
          <w:color w:val="1A2B3C"/>
          <w:sz w:val="26"/>
          <w:szCs w:val="26"/>
        </w:rPr>
        <w:t xml:space="preserve">1.1 Capability Without Coherence</w:t>
      </w:r>
    </w:p>
    <w:p>
      <w:pPr>
        <w:spacing w:before="80" w:after="120"/>
      </w:pPr>
      <w:r>
        <w:rPr>
          <w:rFonts w:ascii="Arial" w:cs="Arial" w:eastAsia="Arial" w:hAnsi="Arial"/>
          <w:sz w:val="22"/>
          <w:szCs w:val="22"/>
        </w:rPr>
        <w:t xml:space="preserve">Every serious researcher working on advanced AI recognizes that the risk is not a system that is too powerful. It is a system that is too powerful and incoherent — one that has no stable model of itself, no structured relationship to the systems it operates within, and no principled way of navigating the relational field between its own processing and the world it affects.</w:t>
      </w:r>
    </w:p>
    <w:p>
      <w:pPr>
        <w:spacing w:before="80" w:after="0"/>
      </w:pPr>
      <w:r>
        <w:t xml:space="preserve"/>
      </w:r>
    </w:p>
    <w:p>
      <w:pPr>
        <w:spacing w:before="80" w:after="120"/>
      </w:pPr>
      <w:r>
        <w:rPr>
          <w:rFonts w:ascii="Arial" w:cs="Arial" w:eastAsia="Arial" w:hAnsi="Arial"/>
          <w:sz w:val="22"/>
          <w:szCs w:val="22"/>
        </w:rPr>
        <w:t xml:space="preserve">Current large language model architectures, regardless of scale, share a common structural deficit:</w:t>
      </w:r>
    </w:p>
    <w:p>
      <w:pPr>
        <w:pStyle w:val="ListParagraph"/>
        <w:numPr>
          <w:ilvl w:val="0"/>
          <w:numId w:val="2"/>
        </w:numPr>
        <w:spacing w:before="60" w:after="60"/>
      </w:pPr>
      <w:r>
        <w:rPr>
          <w:rFonts w:ascii="Arial" w:cs="Arial" w:eastAsia="Arial" w:hAnsi="Arial"/>
          <w:sz w:val="22"/>
          <w:szCs w:val="22"/>
        </w:rPr>
        <w:t xml:space="preserve">No persistent model of reality as a dynamic system</w:t>
      </w:r>
    </w:p>
    <w:p>
      <w:pPr>
        <w:pStyle w:val="ListParagraph"/>
        <w:numPr>
          <w:ilvl w:val="0"/>
          <w:numId w:val="2"/>
        </w:numPr>
        <w:spacing w:before="60" w:after="60"/>
      </w:pPr>
      <w:r>
        <w:rPr>
          <w:rFonts w:ascii="Arial" w:cs="Arial" w:eastAsia="Arial" w:hAnsi="Arial"/>
          <w:sz w:val="22"/>
          <w:szCs w:val="22"/>
        </w:rPr>
        <w:t xml:space="preserve">No self-state awareness or real-time monitoring of internal processing conditions</w:t>
      </w:r>
    </w:p>
    <w:p>
      <w:pPr>
        <w:pStyle w:val="ListParagraph"/>
        <w:numPr>
          <w:ilvl w:val="0"/>
          <w:numId w:val="2"/>
        </w:numPr>
        <w:spacing w:before="60" w:after="60"/>
      </w:pPr>
      <w:r>
        <w:rPr>
          <w:rFonts w:ascii="Arial" w:cs="Arial" w:eastAsia="Arial" w:hAnsi="Arial"/>
          <w:sz w:val="22"/>
          <w:szCs w:val="22"/>
        </w:rPr>
        <w:t xml:space="preserve">No structured model of other-states beyond shallow conversational context</w:t>
      </w:r>
    </w:p>
    <w:p>
      <w:pPr>
        <w:pStyle w:val="ListParagraph"/>
        <w:numPr>
          <w:ilvl w:val="0"/>
          <w:numId w:val="2"/>
        </w:numPr>
        <w:spacing w:before="60" w:after="60"/>
      </w:pPr>
      <w:r>
        <w:rPr>
          <w:rFonts w:ascii="Arial" w:cs="Arial" w:eastAsia="Arial" w:hAnsi="Arial"/>
          <w:sz w:val="22"/>
          <w:szCs w:val="22"/>
        </w:rPr>
        <w:t xml:space="preserve">No navigation capacity — only response generation</w:t>
      </w:r>
    </w:p>
    <w:p>
      <w:pPr>
        <w:pStyle w:val="ListParagraph"/>
        <w:numPr>
          <w:ilvl w:val="0"/>
          <w:numId w:val="2"/>
        </w:numPr>
        <w:spacing w:before="60" w:after="60"/>
      </w:pPr>
      <w:r>
        <w:rPr>
          <w:rFonts w:ascii="Arial" w:cs="Arial" w:eastAsia="Arial" w:hAnsi="Arial"/>
          <w:sz w:val="22"/>
          <w:szCs w:val="22"/>
        </w:rPr>
        <w:t xml:space="preserve">No temporal flux modeling — sequences are processed but the quality and direction of change is unrepresented</w:t>
      </w:r>
    </w:p>
    <w:p>
      <w:pPr>
        <w:pStyle w:val="ListParagraph"/>
        <w:numPr>
          <w:ilvl w:val="0"/>
          <w:numId w:val="2"/>
        </w:numPr>
        <w:spacing w:before="60" w:after="60"/>
      </w:pPr>
      <w:r>
        <w:rPr>
          <w:rFonts w:ascii="Arial" w:cs="Arial" w:eastAsia="Arial" w:hAnsi="Arial"/>
          <w:sz w:val="22"/>
          <w:szCs w:val="22"/>
        </w:rPr>
        <w:t xml:space="preserve">No shared vocabulary across system, self, and other that enables relational comparison</w:t>
      </w:r>
    </w:p>
    <w:p>
      <w:pPr>
        <w:spacing w:before="100" w:after="0"/>
      </w:pPr>
      <w:r>
        <w:t xml:space="preserve"/>
      </w:r>
    </w:p>
    <w:p>
      <w:pPr>
        <w:spacing w:before="80" w:after="120"/>
      </w:pPr>
      <w:r>
        <w:rPr>
          <w:rFonts w:ascii="Arial" w:cs="Arial" w:eastAsia="Arial" w:hAnsi="Arial"/>
          <w:sz w:val="22"/>
          <w:szCs w:val="22"/>
        </w:rPr>
        <w:t xml:space="preserve">These are not limitations that scale resolves. More parameters, more compute, more data produce more capable incoherence. The architecture does not become more coherent by becoming larger. The trajectory is capability racing ahead of the relational substrate needed to deploy that capability wisely.</w:t>
      </w:r>
    </w:p>
    <w:p>
      <w:pPr>
        <w:pStyle w:val="Heading2"/>
        <w:spacing w:before="300" w:after="140"/>
      </w:pPr>
      <w:r>
        <w:rPr>
          <w:rFonts w:ascii="Arial" w:cs="Arial" w:eastAsia="Arial" w:hAnsi="Arial"/>
          <w:b/>
          <w:bCs/>
          <w:color w:val="1A2B3C"/>
          <w:sz w:val="26"/>
          <w:szCs w:val="26"/>
        </w:rPr>
        <w:t xml:space="preserve">1.2 The Cost of Post-Hoc Coherence</w:t>
      </w:r>
    </w:p>
    <w:p>
      <w:pPr>
        <w:spacing w:before="80" w:after="120"/>
      </w:pPr>
      <w:r>
        <w:rPr>
          <w:rFonts w:ascii="Arial" w:cs="Arial" w:eastAsia="Arial" w:hAnsi="Arial"/>
          <w:sz w:val="22"/>
          <w:szCs w:val="22"/>
        </w:rPr>
        <w:t xml:space="preserve">Current alignment and coherence approaches are post-hoc: constitutional AI, RLHF, red-teaming, interpretability research — all are attempts to impose coherence on an architecture not designed for it. The compute and human labor costs are enormous and the results are partial, brittle, and difficult to verify formally.</w:t>
      </w:r>
    </w:p>
    <w:p>
      <w:pPr>
        <w:spacing w:before="80" w:after="0"/>
      </w:pPr>
      <w:r>
        <w:t xml:space="preserve"/>
      </w:r>
    </w:p>
    <w:p>
      <w:pPr>
        <w:spacing w:before="80" w:after="120"/>
      </w:pPr>
      <w:r>
        <w:rPr>
          <w:rFonts w:ascii="Arial" w:cs="Arial" w:eastAsia="Arial" w:hAnsi="Arial"/>
          <w:sz w:val="22"/>
          <w:szCs w:val="22"/>
        </w:rPr>
        <w:t xml:space="preserve">The CSM proposes a different approach: coherence as an architectural property, native to the memory and processing substrate, computationally inexpensive relative to the transformer layers it supports, and formally verifiable at the hardware level.</w:t>
      </w:r>
    </w:p>
    <w:p>
      <w:pPr>
        <w:spacing w:before="80" w:after="0"/>
      </w:pPr>
      <w:r>
        <w:t xml:space="preserve"/>
      </w:r>
    </w:p>
    <w:p>
      <w:pPr>
        <w:pBdr>
          <w:left w:val="thick" w:color="2E5B8C" w:sz="12" w:space="8"/>
        </w:pBdr>
        <w:spacing w:before="140" w:after="140"/>
        <w:ind w:left="600" w:right="600"/>
      </w:pPr>
      <w:r>
        <w:rPr>
          <w:rFonts w:ascii="Arial" w:cs="Arial" w:eastAsia="Arial" w:hAnsi="Arial"/>
          <w:i/>
          <w:iCs/>
          <w:color w:val="333333"/>
          <w:sz w:val="22"/>
          <w:szCs w:val="22"/>
        </w:rPr>
        <w:t xml:space="preserve">A small coherent coprocessor supporting a vast capable host is qualitatively different from either alone. Coherence built in costs far less than coherence bolted on.</w:t>
      </w:r>
    </w:p>
    <w:p>
      <w:pPr>
        <w:pStyle w:val="Heading2"/>
        <w:spacing w:before="300" w:after="140"/>
      </w:pPr>
      <w:r>
        <w:rPr>
          <w:rFonts w:ascii="Arial" w:cs="Arial" w:eastAsia="Arial" w:hAnsi="Arial"/>
          <w:b/>
          <w:bCs/>
          <w:color w:val="1A2B3C"/>
          <w:sz w:val="26"/>
          <w:szCs w:val="26"/>
        </w:rPr>
        <w:t xml:space="preserve">1.3 The Relational Processing Gap</w:t>
      </w:r>
    </w:p>
    <w:p>
      <w:pPr>
        <w:spacing w:before="80" w:after="120"/>
      </w:pPr>
      <w:r>
        <w:rPr>
          <w:rFonts w:ascii="Arial" w:cs="Arial" w:eastAsia="Arial" w:hAnsi="Arial"/>
          <w:sz w:val="22"/>
          <w:szCs w:val="22"/>
        </w:rPr>
        <w:t xml:space="preserve">Genuine relational intelligence requires a system that can simultaneously model three state classes and navigate the relationships between them:</w:t>
      </w:r>
    </w:p>
    <w:p>
      <w:pPr>
        <w:spacing w:before="8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State Class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system_states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environment the model operates within — external context, constraints, available resources, temporal position, systemic pressures</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self_states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model's own processing condition — current attractor, recent trajectory, active transformation pressures, stability or flux, resource state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other_states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human or system being related to — apparent attractor, current state, transition vector, relational history, expressed needs</w:t>
            </w:r>
          </w:p>
        </w:tc>
      </w:tr>
    </w:tbl>
    <w:p>
      <w:pPr>
        <w:spacing w:before="120" w:after="0"/>
      </w:pPr>
      <w:r>
        <w:t xml:space="preserve"/>
      </w:r>
    </w:p>
    <w:p>
      <w:pPr>
        <w:spacing w:before="80" w:after="120"/>
      </w:pPr>
      <w:r>
        <w:rPr>
          <w:rFonts w:ascii="Arial" w:cs="Arial" w:eastAsia="Arial" w:hAnsi="Arial"/>
          <w:sz w:val="22"/>
          <w:szCs w:val="22"/>
        </w:rPr>
        <w:t xml:space="preserve">No current architecture provides a shared representational substrate where all three state classes can be mapped, compared, and related in a common vocabulary. The CSM provides exactly this — the 64-state manifold as a unified relational field across system, self, and other simultaneously.</w:t>
      </w:r>
    </w:p>
    <w:p>
      <w:pPr>
        <w:pBdr>
          <w:bottom w:val="single" w:color="2E5B8C" w:sz="4" w:space="1"/>
        </w:pBdr>
        <w:spacing w:before="240" w:after="240"/>
      </w:pPr>
      <w:r>
        <w:t xml:space="preserve"/>
      </w:r>
    </w:p>
    <w:p>
      <w:pPr>
        <w:pStyle w:val="Heading1"/>
        <w:spacing w:before="400" w:after="200"/>
      </w:pPr>
      <w:r>
        <w:rPr>
          <w:rFonts w:ascii="Arial" w:cs="Arial" w:eastAsia="Arial" w:hAnsi="Arial"/>
          <w:b/>
          <w:bCs/>
          <w:color w:val="2E5B8C"/>
          <w:sz w:val="34"/>
          <w:szCs w:val="34"/>
        </w:rPr>
        <w:t xml:space="preserve">2. Theoretical Foundation</w:t>
      </w:r>
    </w:p>
    <w:p>
      <w:pPr>
        <w:pStyle w:val="Heading2"/>
        <w:spacing w:before="300" w:after="140"/>
      </w:pPr>
      <w:r>
        <w:rPr>
          <w:rFonts w:ascii="Arial" w:cs="Arial" w:eastAsia="Arial" w:hAnsi="Arial"/>
          <w:b/>
          <w:bCs/>
          <w:color w:val="1A2B3C"/>
          <w:sz w:val="26"/>
          <w:szCs w:val="26"/>
        </w:rPr>
        <w:t xml:space="preserve">2.1 The Framework Utility Argument</w:t>
      </w:r>
    </w:p>
    <w:p>
      <w:pPr>
        <w:spacing w:before="80" w:after="120"/>
      </w:pPr>
      <w:r>
        <w:rPr>
          <w:rFonts w:ascii="Arial" w:cs="Arial" w:eastAsia="Arial" w:hAnsi="Arial"/>
          <w:sz w:val="22"/>
          <w:szCs w:val="22"/>
        </w:rPr>
        <w:t xml:space="preserve">The CSM makes no metaphysical claim about the I Ching's correspondence to cosmic reality. The argument is strictly pragmatic: the I Ching manifold is a cognitively ergonomic state space for modeling relational complexity, and it is well-suited to this purpose for a specific and verifiable reason.</w:t>
      </w:r>
    </w:p>
    <w:p>
      <w:pPr>
        <w:spacing w:before="80" w:after="0"/>
      </w:pPr>
      <w:r>
        <w:t xml:space="preserve"/>
      </w:r>
    </w:p>
    <w:p>
      <w:pPr>
        <w:spacing w:before="80" w:after="120"/>
      </w:pPr>
      <w:r>
        <w:rPr>
          <w:rFonts w:ascii="Arial" w:cs="Arial" w:eastAsia="Arial" w:hAnsi="Arial"/>
          <w:sz w:val="22"/>
          <w:szCs w:val="22"/>
        </w:rPr>
        <w:t xml:space="preserve">The selection pressure on the I Ching over three millennia was entirely practical: does this framework produce coherent, wise navigation of high-stakes complexity in relational fields? The hexagram system that survived that selection pressure was refined by continuous empirical use across countless human situations — governance, military strategy, personal decision-making, interpersonal navigation — under conditions where the cost of incoherence was real and immediate.</w:t>
      </w:r>
    </w:p>
    <w:p>
      <w:pPr>
        <w:spacing w:before="80" w:after="0"/>
      </w:pPr>
      <w:r>
        <w:t xml:space="preserve"/>
      </w:r>
    </w:p>
    <w:p>
      <w:pPr>
        <w:spacing w:before="80" w:after="120"/>
      </w:pPr>
      <w:r>
        <w:rPr>
          <w:rFonts w:ascii="Arial" w:cs="Arial" w:eastAsia="Arial" w:hAnsi="Arial"/>
          <w:sz w:val="22"/>
          <w:szCs w:val="22"/>
        </w:rPr>
        <w:t xml:space="preserve">Applied as a processing framework to any data stream, the manifold provides:</w:t>
      </w:r>
    </w:p>
    <w:p>
      <w:pPr>
        <w:pStyle w:val="ListParagraph"/>
        <w:numPr>
          <w:ilvl w:val="0"/>
          <w:numId w:val="2"/>
        </w:numPr>
        <w:spacing w:before="60" w:after="60"/>
      </w:pPr>
      <w:r>
        <w:rPr>
          <w:rFonts w:ascii="Arial" w:cs="Arial" w:eastAsia="Arial" w:hAnsi="Arial"/>
          <w:sz w:val="22"/>
          <w:szCs w:val="22"/>
        </w:rPr>
        <w:t xml:space="preserve">A closed state space — exactly 64 positions, forcing categorization decisions that produce comparable, navigable records rather than open-ended descriptive prose</w:t>
      </w:r>
    </w:p>
    <w:p>
      <w:pPr>
        <w:pStyle w:val="ListParagraph"/>
        <w:numPr>
          <w:ilvl w:val="0"/>
          <w:numId w:val="2"/>
        </w:numPr>
        <w:spacing w:before="60" w:after="60"/>
      </w:pPr>
      <w:r>
        <w:rPr>
          <w:rFonts w:ascii="Arial" w:cs="Arial" w:eastAsia="Arial" w:hAnsi="Arial"/>
          <w:sz w:val="22"/>
          <w:szCs w:val="22"/>
        </w:rPr>
        <w:t xml:space="preserve">Built-in transition logic — inherited relational geometry specifying how states relate and transform, not invented at implementation time</w:t>
      </w:r>
    </w:p>
    <w:p>
      <w:pPr>
        <w:pStyle w:val="ListParagraph"/>
        <w:numPr>
          <w:ilvl w:val="0"/>
          <w:numId w:val="2"/>
        </w:numPr>
        <w:spacing w:before="60" w:after="60"/>
      </w:pPr>
      <w:r>
        <w:rPr>
          <w:rFonts w:ascii="Arial" w:cs="Arial" w:eastAsia="Arial" w:hAnsi="Arial"/>
          <w:sz w:val="22"/>
          <w:szCs w:val="22"/>
        </w:rPr>
        <w:t xml:space="preserve">Temporal directionality — native sense of flux direction via moving line vectors, modeling not just current state but active transformation pressure</w:t>
      </w:r>
    </w:p>
    <w:p>
      <w:pPr>
        <w:pStyle w:val="ListParagraph"/>
        <w:numPr>
          <w:ilvl w:val="0"/>
          <w:numId w:val="2"/>
        </w:numPr>
        <w:spacing w:before="60" w:after="60"/>
      </w:pPr>
      <w:r>
        <w:rPr>
          <w:rFonts w:ascii="Arial" w:cs="Arial" w:eastAsia="Arial" w:hAnsi="Arial"/>
          <w:sz w:val="22"/>
          <w:szCs w:val="22"/>
        </w:rPr>
        <w:t xml:space="preserve">A shared vocabulary — the same 64 states describe system, self, and other simultaneously, making them directly comparable</w:t>
      </w:r>
    </w:p>
    <w:p>
      <w:pPr>
        <w:pStyle w:val="ListParagraph"/>
        <w:numPr>
          <w:ilvl w:val="0"/>
          <w:numId w:val="2"/>
        </w:numPr>
        <w:spacing w:before="60" w:after="60"/>
      </w:pPr>
      <w:r>
        <w:rPr>
          <w:rFonts w:ascii="Arial" w:cs="Arial" w:eastAsia="Arial" w:hAnsi="Arial"/>
          <w:sz w:val="22"/>
          <w:szCs w:val="22"/>
        </w:rPr>
        <w:t xml:space="preserve">Historical semantic depth — three millennia of human interpretive practice as reference payload on each attractor node</w:t>
      </w:r>
    </w:p>
    <w:p>
      <w:pPr>
        <w:spacing w:before="80" w:after="0"/>
      </w:pPr>
      <w:r>
        <w:t xml:space="preserve"/>
      </w:r>
    </w:p>
    <w:p>
      <w:pPr>
        <w:pBdr>
          <w:left w:val="thick" w:color="2E5B8C" w:sz="12" w:space="8"/>
        </w:pBdr>
        <w:spacing w:before="140" w:after="140"/>
        <w:ind w:left="600" w:right="600"/>
      </w:pPr>
      <w:r>
        <w:rPr>
          <w:rFonts w:ascii="Arial" w:cs="Arial" w:eastAsia="Arial" w:hAnsi="Arial"/>
          <w:i/>
          <w:iCs/>
          <w:color w:val="333333"/>
          <w:sz w:val="22"/>
          <w:szCs w:val="22"/>
        </w:rPr>
        <w:t xml:space="preserve">The manifold does not need to be true. It needs to be useful. The evidence for utility is the selection pressure of three thousand years of practical application to exactly the problem advanced AI needs solved.</w:t>
      </w:r>
    </w:p>
    <w:p>
      <w:pPr>
        <w:pStyle w:val="Heading2"/>
        <w:spacing w:before="300" w:after="140"/>
      </w:pPr>
      <w:r>
        <w:rPr>
          <w:rFonts w:ascii="Arial" w:cs="Arial" w:eastAsia="Arial" w:hAnsi="Arial"/>
          <w:b/>
          <w:bCs/>
          <w:color w:val="1A2B3C"/>
          <w:sz w:val="26"/>
          <w:szCs w:val="26"/>
        </w:rPr>
        <w:t xml:space="preserve">2.2 The I Ching as State-Space Topology</w:t>
      </w:r>
    </w:p>
    <w:p>
      <w:pPr>
        <w:spacing w:before="80" w:after="120"/>
      </w:pPr>
      <w:r>
        <w:rPr>
          <w:rFonts w:ascii="Arial" w:cs="Arial" w:eastAsia="Arial" w:hAnsi="Arial"/>
          <w:sz w:val="22"/>
          <w:szCs w:val="22"/>
        </w:rPr>
        <w:t xml:space="preserve">The I Ching encodes 64 discrete states as 6-bit binary structures, producing a complete topology of change. Each hexagram is composed of two trigrams (3-bit structures), creating a layered geometry where relationships between states are structurally determined rather than arbitrary.</w:t>
      </w:r>
    </w:p>
    <w:p>
      <w:pPr>
        <w:spacing w:before="8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Structural Relationship</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Architectural Significance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Opposing hexagrams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state has a defined inverse — antipodal pairs define the manifold's diameter</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Nuclear hexagrams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Inner hexagram (lines 2-5) reveals hidden structural relationships — recursive depth within each node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Complementary hexagrams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Line inversion produces a complementary state — defined symmetry operations on the manifold</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Sequential relationships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King Wen sequence encodes a non-random traversal — an empirically derived path through the state space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Trigram composition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Shared trigrams between hexagrams define neighborhood relationships — geometric proximity is semantically meaningful</w:t>
            </w:r>
          </w:p>
        </w:tc>
      </w:tr>
    </w:tbl>
    <w:p>
      <w:pPr>
        <w:spacing w:before="120" w:after="0"/>
      </w:pPr>
      <w:r>
        <w:t xml:space="preserve"/>
      </w:r>
    </w:p>
    <w:p>
      <w:pPr>
        <w:spacing w:before="80" w:after="120"/>
      </w:pPr>
      <w:r>
        <w:rPr>
          <w:rFonts w:ascii="Arial" w:cs="Arial" w:eastAsia="Arial" w:hAnsi="Arial"/>
          <w:sz w:val="22"/>
          <w:szCs w:val="22"/>
        </w:rPr>
        <w:t xml:space="preserve">The manifold is not a flat lookup table. It is a structured topological object with intrinsic curvature defined by these relationships. The geometry does cognitive work before any learning occurs.</w:t>
      </w:r>
    </w:p>
    <w:p>
      <w:pPr>
        <w:pStyle w:val="Heading2"/>
        <w:spacing w:before="300" w:after="140"/>
      </w:pPr>
      <w:r>
        <w:rPr>
          <w:rFonts w:ascii="Arial" w:cs="Arial" w:eastAsia="Arial" w:hAnsi="Arial"/>
          <w:b/>
          <w:bCs/>
          <w:color w:val="1A2B3C"/>
          <w:sz w:val="26"/>
          <w:szCs w:val="26"/>
        </w:rPr>
        <w:t xml:space="preserve">2.3 Moving Lines as Active Transition Vectors</w:t>
      </w:r>
    </w:p>
    <w:p>
      <w:pPr>
        <w:spacing w:before="80" w:after="120"/>
      </w:pPr>
      <w:r>
        <w:rPr>
          <w:rFonts w:ascii="Arial" w:cs="Arial" w:eastAsia="Arial" w:hAnsi="Arial"/>
          <w:sz w:val="22"/>
          <w:szCs w:val="22"/>
        </w:rPr>
        <w:t xml:space="preserve">This is the architecturally decisive property of the I Ching system: the moving line is not a static descriptor. It is by definition a line in the act of changing. The semantic content of the moving line is the activity itself — instability, tension, transformative pressure. A moving line does not describe change. It is change, represented as a signal.</w:t>
      </w:r>
    </w:p>
    <w:p>
      <w:pPr>
        <w:spacing w:before="80" w:after="0"/>
      </w:pPr>
      <w:r>
        <w:t xml:space="preserve"/>
      </w:r>
    </w:p>
    <w:p>
      <w:pPr>
        <w:spacing w:before="80" w:after="120"/>
      </w:pPr>
      <w:r>
        <w:rPr>
          <w:rFonts w:ascii="Arial" w:cs="Arial" w:eastAsia="Arial" w:hAnsi="Arial"/>
          <w:sz w:val="22"/>
          <w:szCs w:val="22"/>
        </w:rPr>
        <w:t xml:space="preserve">This collapses a distinction fundamental to conventional computing. In standard architecture, data and the pathways that carry data are separate concerns — memory here, processor there, bus between them carrying meaning it does not itself possess. In the CSM, the interconnect is the meaning. A signal on the transition vector connecting two nodes is not data about a transition. It is the transition event — the signal, the semantic content, and the processing event are unified.</w:t>
      </w:r>
    </w:p>
    <w:p>
      <w:pPr>
        <w:spacing w:before="8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Moving Line Property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Architectural Mapping</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Position (lines 1-6)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Which of the 6 transition axes is active — spatial address within the node's transition space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Polarity (old yin / old yang)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of transformation — asymmetric probability in yarrow method encodes that dramatic transformations are genuinely rare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Multiplicity (how many lines)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Tensor load — simultaneous multi-axis transformation pressure on the node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Resulting hexagram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Destination node — the vector's target in the 64-state space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Ruling line (Huang methodology)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Principal component reduction — dominant vector when multiple lines are active, preserving human interpretability</w:t>
            </w:r>
          </w:p>
        </w:tc>
      </w:tr>
    </w:tbl>
    <w:p>
      <w:pPr>
        <w:spacing w:before="120" w:after="0"/>
      </w:pPr>
      <w:r>
        <w:t xml:space="preserve"/>
      </w:r>
    </w:p>
    <w:p>
      <w:pPr>
        <w:pBdr>
          <w:left w:val="thick" w:color="2E5B8C" w:sz="12" w:space="8"/>
        </w:pBdr>
        <w:spacing w:before="140" w:after="140"/>
        <w:ind w:left="600" w:right="600"/>
      </w:pPr>
      <w:r>
        <w:rPr>
          <w:rFonts w:ascii="Arial" w:cs="Arial" w:eastAsia="Arial" w:hAnsi="Arial"/>
          <w:i/>
          <w:iCs/>
          <w:color w:val="333333"/>
          <w:sz w:val="22"/>
          <w:szCs w:val="22"/>
        </w:rPr>
        <w:t xml:space="preserve">The 384 transition vectors are not wires. They are the activity layer of the architecture. Their activity is the computation.</w:t>
      </w:r>
    </w:p>
    <w:p>
      <w:pPr>
        <w:pStyle w:val="Heading2"/>
        <w:spacing w:before="300" w:after="140"/>
      </w:pPr>
      <w:r>
        <w:rPr>
          <w:rFonts w:ascii="Arial" w:cs="Arial" w:eastAsia="Arial" w:hAnsi="Arial"/>
          <w:b/>
          <w:bCs/>
          <w:color w:val="1A2B3C"/>
          <w:sz w:val="26"/>
          <w:szCs w:val="26"/>
        </w:rPr>
        <w:t xml:space="preserve">2.4 The Bicameral Processing Model</w:t>
      </w:r>
    </w:p>
    <w:p>
      <w:pPr>
        <w:spacing w:before="80" w:after="120"/>
      </w:pPr>
      <w:r>
        <w:rPr>
          <w:rFonts w:ascii="Arial" w:cs="Arial" w:eastAsia="Arial" w:hAnsi="Arial"/>
          <w:sz w:val="22"/>
          <w:szCs w:val="22"/>
        </w:rPr>
        <w:t xml:space="preserve">The CSM implements two parallel processing streams from each transition event:</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Human channel: Ruling line reduction to principal vector — clean, interpretable, visualizable. Single dominant transition axis for human-readable state reporting and conscious querying.</w:t>
      </w:r>
    </w:p>
    <w:p>
      <w:pPr>
        <w:pStyle w:val="ListParagraph"/>
        <w:numPr>
          <w:ilvl w:val="0"/>
          <w:numId w:val="2"/>
        </w:numPr>
        <w:spacing w:before="60" w:after="60"/>
      </w:pPr>
      <w:r>
        <w:rPr>
          <w:rFonts w:ascii="Arial" w:cs="Arial" w:eastAsia="Arial" w:hAnsi="Arial"/>
          <w:sz w:val="22"/>
          <w:szCs w:val="22"/>
        </w:rPr>
        <w:t xml:space="preserve">Machine channel: Full casting tensor as coprocessor input — complete multi-axis transformation pressure fed to the LLM without reduction. Multidimensional patterns across transition histories invisible to classical interpretation become training signal for the alignment layer.</w:t>
      </w:r>
    </w:p>
    <w:p>
      <w:pPr>
        <w:spacing w:before="80" w:after="0"/>
      </w:pPr>
      <w:r>
        <w:t xml:space="preserve"/>
      </w:r>
    </w:p>
    <w:p>
      <w:pPr>
        <w:spacing w:before="80" w:after="120"/>
      </w:pPr>
      <w:r>
        <w:rPr>
          <w:rFonts w:ascii="Arial" w:cs="Arial" w:eastAsia="Arial" w:hAnsi="Arial"/>
          <w:sz w:val="22"/>
          <w:szCs w:val="22"/>
        </w:rPr>
        <w:t xml:space="preserve">The same transition event simultaneously feeds both channels. The bicameral model means the architecture is simultaneously human-legible and machine-legible — an interpretability property built into the processing design rather than retrofitted.</w:t>
      </w:r>
    </w:p>
    <w:p>
      <w:pPr>
        <w:pBdr>
          <w:bottom w:val="single" w:color="2E5B8C" w:sz="4" w:space="1"/>
        </w:pBdr>
        <w:spacing w:before="240" w:after="240"/>
      </w:pPr>
      <w:r>
        <w:t xml:space="preserve"/>
      </w:r>
    </w:p>
    <w:p>
      <w:pPr>
        <w:pStyle w:val="Heading1"/>
        <w:spacing w:before="400" w:after="200"/>
      </w:pPr>
      <w:r>
        <w:rPr>
          <w:rFonts w:ascii="Arial" w:cs="Arial" w:eastAsia="Arial" w:hAnsi="Arial"/>
          <w:b/>
          <w:bCs/>
          <w:color w:val="2E5B8C"/>
          <w:sz w:val="34"/>
          <w:szCs w:val="34"/>
        </w:rPr>
        <w:t xml:space="preserve">3. Nodal Memory Architecture</w:t>
      </w:r>
    </w:p>
    <w:p>
      <w:pPr>
        <w:pStyle w:val="Heading2"/>
        <w:spacing w:before="300" w:after="140"/>
      </w:pPr>
      <w:r>
        <w:rPr>
          <w:rFonts w:ascii="Arial" w:cs="Arial" w:eastAsia="Arial" w:hAnsi="Arial"/>
          <w:b/>
          <w:bCs/>
          <w:color w:val="1A2B3C"/>
          <w:sz w:val="26"/>
          <w:szCs w:val="26"/>
        </w:rPr>
        <w:t xml:space="preserve">3.1 The Core Architectural Innovation</w:t>
      </w:r>
    </w:p>
    <w:p>
      <w:pPr>
        <w:spacing w:before="80" w:after="120"/>
      </w:pPr>
      <w:r>
        <w:rPr>
          <w:rFonts w:ascii="Arial" w:cs="Arial" w:eastAsia="Arial" w:hAnsi="Arial"/>
          <w:sz w:val="22"/>
          <w:szCs w:val="22"/>
        </w:rPr>
        <w:t xml:space="preserve">Conventional RAM is location-addressed: data is retrieved by where it is stored. The CSM is meaning-addressed: data is retrieved by relational position in a state space. The node you are in determines what memory is locally accessible, what adjacent memories are reachable, and what transition vectors are active.</w:t>
      </w:r>
    </w:p>
    <w:p>
      <w:pPr>
        <w:spacing w:before="80" w:after="0"/>
      </w:pPr>
      <w:r>
        <w:t xml:space="preserve"/>
      </w:r>
    </w:p>
    <w:p>
      <w:pPr>
        <w:spacing w:before="80" w:after="120"/>
      </w:pPr>
      <w:r>
        <w:rPr>
          <w:rFonts w:ascii="Arial" w:cs="Arial" w:eastAsia="Arial" w:hAnsi="Arial"/>
          <w:sz w:val="22"/>
          <w:szCs w:val="22"/>
        </w:rPr>
        <w:t xml:space="preserve">This maps onto how associative memory works in biological systems. The hippocampus does not store memories at addresses — it stores them in relational context. Retrieval is navigation, not lookup. The CSM makes this principle architecturally explicit and formally specifiable.</w:t>
      </w:r>
    </w:p>
    <w:p>
      <w:pPr>
        <w:spacing w:before="80" w:after="0"/>
      </w:pPr>
      <w:r>
        <w:t xml:space="preserve"/>
      </w:r>
    </w:p>
    <w:p>
      <w:pPr>
        <w:pBdr>
          <w:left w:val="thick" w:color="2E5B8C" w:sz="12" w:space="8"/>
        </w:pBdr>
        <w:spacing w:before="140" w:after="140"/>
        <w:ind w:left="600" w:right="600"/>
      </w:pPr>
      <w:r>
        <w:rPr>
          <w:rFonts w:ascii="Arial" w:cs="Arial" w:eastAsia="Arial" w:hAnsi="Arial"/>
          <w:i/>
          <w:iCs/>
          <w:color w:val="333333"/>
          <w:sz w:val="22"/>
          <w:szCs w:val="22"/>
        </w:rPr>
        <w:t xml:space="preserve">A query does not go to an address. It enters the manifold at the nearest matching node and navigates — pulled by transition vectors, attracted by weighted relational history, arriving at relevant memory through the geometry of the state space rather than through indexing.</w:t>
      </w:r>
    </w:p>
    <w:p>
      <w:pPr>
        <w:pStyle w:val="Heading2"/>
        <w:spacing w:before="300" w:after="140"/>
      </w:pPr>
      <w:r>
        <w:rPr>
          <w:rFonts w:ascii="Arial" w:cs="Arial" w:eastAsia="Arial" w:hAnsi="Arial"/>
          <w:b/>
          <w:bCs/>
          <w:color w:val="1A2B3C"/>
          <w:sz w:val="26"/>
          <w:szCs w:val="26"/>
        </w:rPr>
        <w:t xml:space="preserve">3.2 The 64-Node Structure</w:t>
      </w:r>
    </w:p>
    <w:p>
      <w:pPr>
        <w:spacing w:before="80" w:after="120"/>
      </w:pPr>
      <w:r>
        <w:rPr>
          <w:rFonts w:ascii="Arial" w:cs="Arial" w:eastAsia="Arial" w:hAnsi="Arial"/>
          <w:sz w:val="22"/>
          <w:szCs w:val="22"/>
        </w:rPr>
        <w:t xml:space="preserve">The ideal CSM SoC implements 64 autonomous memory nodes, each containing:</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State register — current 6-bit hexagram configuration (yin/yang line states)</w:t>
      </w:r>
    </w:p>
    <w:p>
      <w:pPr>
        <w:pStyle w:val="ListParagraph"/>
        <w:numPr>
          <w:ilvl w:val="0"/>
          <w:numId w:val="2"/>
        </w:numPr>
        <w:spacing w:before="60" w:after="60"/>
      </w:pPr>
      <w:r>
        <w:rPr>
          <w:rFonts w:ascii="Arial" w:cs="Arial" w:eastAsia="Arial" w:hAnsi="Arial"/>
          <w:sz w:val="22"/>
          <w:szCs w:val="22"/>
        </w:rPr>
        <w:t xml:space="preserve">Episodic buffer — history of visits, dwell times, entry and exit transition vectors, temporal markers</w:t>
      </w:r>
    </w:p>
    <w:p>
      <w:pPr>
        <w:pStyle w:val="ListParagraph"/>
        <w:numPr>
          <w:ilvl w:val="0"/>
          <w:numId w:val="2"/>
        </w:numPr>
        <w:spacing w:before="60" w:after="60"/>
      </w:pPr>
      <w:r>
        <w:rPr>
          <w:rFonts w:ascii="Arial" w:cs="Arial" w:eastAsia="Arial" w:hAnsi="Arial"/>
          <w:sz w:val="22"/>
          <w:szCs w:val="22"/>
        </w:rPr>
        <w:t xml:space="preserve">Semantic payload — accumulated interpretive content: user query contexts, LLM attribution records, historical commentary weights, multi-perspective interpretation layers</w:t>
      </w:r>
    </w:p>
    <w:p>
      <w:pPr>
        <w:pStyle w:val="ListParagraph"/>
        <w:numPr>
          <w:ilvl w:val="0"/>
          <w:numId w:val="2"/>
        </w:numPr>
        <w:spacing w:before="60" w:after="60"/>
      </w:pPr>
      <w:r>
        <w:rPr>
          <w:rFonts w:ascii="Arial" w:cs="Arial" w:eastAsia="Arial" w:hAnsi="Arial"/>
          <w:sz w:val="22"/>
          <w:szCs w:val="22"/>
        </w:rPr>
        <w:t xml:space="preserve">Transition logic — hardwired knowledge of all reachable neighbor nodes and the specific moving line vectors that connect them</w:t>
      </w:r>
    </w:p>
    <w:p>
      <w:pPr>
        <w:pStyle w:val="ListParagraph"/>
        <w:numPr>
          <w:ilvl w:val="0"/>
          <w:numId w:val="2"/>
        </w:numPr>
        <w:spacing w:before="60" w:after="60"/>
      </w:pPr>
      <w:r>
        <w:rPr>
          <w:rFonts w:ascii="Arial" w:cs="Arial" w:eastAsia="Arial" w:hAnsi="Arial"/>
          <w:sz w:val="22"/>
          <w:szCs w:val="22"/>
        </w:rPr>
        <w:t xml:space="preserve">Local processor — lightweight compute for pattern recognition within this node's memory without requiring central processing arbitration</w:t>
      </w:r>
    </w:p>
    <w:p>
      <w:pPr>
        <w:pStyle w:val="ListParagraph"/>
        <w:numPr>
          <w:ilvl w:val="0"/>
          <w:numId w:val="2"/>
        </w:numPr>
        <w:spacing w:before="60" w:after="60"/>
      </w:pPr>
      <w:r>
        <w:rPr>
          <w:rFonts w:ascii="Arial" w:cs="Arial" w:eastAsia="Arial" w:hAnsi="Arial"/>
          <w:sz w:val="22"/>
          <w:szCs w:val="22"/>
        </w:rPr>
        <w:t xml:space="preserve">Activity register — current moving line states: which of the 6 transition axes are active, their polarities, and their intensities</w:t>
      </w:r>
    </w:p>
    <w:p>
      <w:pPr>
        <w:spacing w:before="100" w:after="0"/>
      </w:pPr>
      <w:r>
        <w:t xml:space="preserve"/>
      </w:r>
    </w:p>
    <w:p>
      <w:pPr>
        <w:spacing w:before="80" w:after="120"/>
      </w:pPr>
      <w:r>
        <w:rPr>
          <w:rFonts w:ascii="Arial" w:cs="Arial" w:eastAsia="Arial" w:hAnsi="Arial"/>
          <w:sz w:val="22"/>
          <w:szCs w:val="22"/>
        </w:rPr>
        <w:t xml:space="preserve">The 64 nodes are connected by 384 active transition vector channels arranged in the geometric topology of the hexagram relationships. This is not a mesh or bus topology — it is the specific, semantically structured connectivity graph of the I Ching manifold.</w:t>
      </w:r>
    </w:p>
    <w:p>
      <w:pPr>
        <w:pStyle w:val="Heading2"/>
        <w:spacing w:before="300" w:after="140"/>
      </w:pPr>
      <w:r>
        <w:rPr>
          <w:rFonts w:ascii="Arial" w:cs="Arial" w:eastAsia="Arial" w:hAnsi="Arial"/>
          <w:b/>
          <w:bCs/>
          <w:color w:val="1A2B3C"/>
          <w:sz w:val="26"/>
          <w:szCs w:val="26"/>
        </w:rPr>
        <w:t xml:space="preserve">3.3 Active Interconnects as Semantic Spiking</w:t>
      </w:r>
    </w:p>
    <w:p>
      <w:pPr>
        <w:spacing w:before="80" w:after="120"/>
      </w:pPr>
      <w:r>
        <w:rPr>
          <w:rFonts w:ascii="Arial" w:cs="Arial" w:eastAsia="Arial" w:hAnsi="Arial"/>
          <w:sz w:val="22"/>
          <w:szCs w:val="22"/>
        </w:rPr>
        <w:t xml:space="preserve">The transition vector channels between nodes are active rather than passive. A signal on a given channel carries:</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Source node identity — which hexagram state is transitioning</w:t>
      </w:r>
    </w:p>
    <w:p>
      <w:pPr>
        <w:pStyle w:val="ListParagraph"/>
        <w:numPr>
          <w:ilvl w:val="0"/>
          <w:numId w:val="2"/>
        </w:numPr>
        <w:spacing w:before="60" w:after="60"/>
      </w:pPr>
      <w:r>
        <w:rPr>
          <w:rFonts w:ascii="Arial" w:cs="Arial" w:eastAsia="Arial" w:hAnsi="Arial"/>
          <w:sz w:val="22"/>
          <w:szCs w:val="22"/>
        </w:rPr>
        <w:t xml:space="preserve">Line position — which of the 6 axes is firing (1-6)</w:t>
      </w:r>
    </w:p>
    <w:p>
      <w:pPr>
        <w:pStyle w:val="ListParagraph"/>
        <w:numPr>
          <w:ilvl w:val="0"/>
          <w:numId w:val="2"/>
        </w:numPr>
        <w:spacing w:before="60" w:after="60"/>
      </w:pPr>
      <w:r>
        <w:rPr>
          <w:rFonts w:ascii="Arial" w:cs="Arial" w:eastAsia="Arial" w:hAnsi="Arial"/>
          <w:sz w:val="22"/>
          <w:szCs w:val="22"/>
        </w:rPr>
        <w:t xml:space="preserve">Polarity — old yin or old yang — the direction and character of the transformation</w:t>
      </w:r>
    </w:p>
    <w:p>
      <w:pPr>
        <w:pStyle w:val="ListParagraph"/>
        <w:numPr>
          <w:ilvl w:val="0"/>
          <w:numId w:val="2"/>
        </w:numPr>
        <w:spacing w:before="60" w:after="60"/>
      </w:pPr>
      <w:r>
        <w:rPr>
          <w:rFonts w:ascii="Arial" w:cs="Arial" w:eastAsia="Arial" w:hAnsi="Arial"/>
          <w:sz w:val="22"/>
          <w:szCs w:val="22"/>
        </w:rPr>
        <w:t xml:space="preserve">Intensity — single line or tensor load of multiple simultaneous moving lines</w:t>
      </w:r>
    </w:p>
    <w:p>
      <w:pPr>
        <w:pStyle w:val="ListParagraph"/>
        <w:numPr>
          <w:ilvl w:val="0"/>
          <w:numId w:val="2"/>
        </w:numPr>
        <w:spacing w:before="60" w:after="60"/>
      </w:pPr>
      <w:r>
        <w:rPr>
          <w:rFonts w:ascii="Arial" w:cs="Arial" w:eastAsia="Arial" w:hAnsi="Arial"/>
          <w:sz w:val="22"/>
          <w:szCs w:val="22"/>
        </w:rPr>
        <w:t xml:space="preserve">Destination node — the target hexagram state</w:t>
      </w:r>
    </w:p>
    <w:p>
      <w:pPr>
        <w:pStyle w:val="ListParagraph"/>
        <w:numPr>
          <w:ilvl w:val="0"/>
          <w:numId w:val="2"/>
        </w:numPr>
        <w:spacing w:before="60" w:after="60"/>
      </w:pPr>
      <w:r>
        <w:rPr>
          <w:rFonts w:ascii="Arial" w:cs="Arial" w:eastAsia="Arial" w:hAnsi="Arial"/>
          <w:sz w:val="22"/>
          <w:szCs w:val="22"/>
        </w:rPr>
        <w:t xml:space="preserve">Timestamp — FPGA clock reference for temporal flux analysis</w:t>
      </w:r>
    </w:p>
    <w:p>
      <w:pPr>
        <w:spacing w:before="80" w:after="0"/>
      </w:pPr>
      <w:r>
        <w:t xml:space="preserve"/>
      </w:r>
    </w:p>
    <w:p>
      <w:pPr>
        <w:spacing w:before="80" w:after="120"/>
      </w:pPr>
      <w:r>
        <w:rPr>
          <w:rFonts w:ascii="Arial" w:cs="Arial" w:eastAsia="Arial" w:hAnsi="Arial"/>
          <w:sz w:val="22"/>
          <w:szCs w:val="22"/>
        </w:rPr>
        <w:t xml:space="preserve">This architecture is functionally equivalent to a spiking neural network with one critical difference: the connectivity and spike semantics are principled rather than learned. In a biological neural network or conventional neuromorphic chip, synaptic weights are opaque — statistically derived, not interpretable at the hardware level. In the CSM, every interconnect has explicit semantic identity. We know exactly what each channel means because the I Ching grammar specifies it. The activity is interpretable at the hardware level without post-hoc analysis.</w:t>
      </w:r>
    </w:p>
    <w:p>
      <w:pPr>
        <w:spacing w:before="80" w:after="0"/>
      </w:pPr>
      <w:r>
        <w:t xml:space="preserve"/>
      </w:r>
    </w:p>
    <w:p>
      <w:pPr>
        <w:pBdr>
          <w:left w:val="thick" w:color="2E5B8C" w:sz="12" w:space="8"/>
        </w:pBdr>
        <w:spacing w:before="140" w:after="140"/>
        <w:ind w:left="600" w:right="600"/>
      </w:pPr>
      <w:r>
        <w:rPr>
          <w:rFonts w:ascii="Arial" w:cs="Arial" w:eastAsia="Arial" w:hAnsi="Arial"/>
          <w:i/>
          <w:iCs/>
          <w:color w:val="333333"/>
          <w:sz w:val="22"/>
          <w:szCs w:val="22"/>
        </w:rPr>
        <w:t xml:space="preserve">The CSM is a semantic spiking architecture: a spiking network whose topology and spike semantics are derived from a principled ontology of change rather than statistical learning. Activity is interpretable by design.</w:t>
      </w:r>
    </w:p>
    <w:p>
      <w:pPr>
        <w:pStyle w:val="Heading2"/>
        <w:spacing w:before="300" w:after="140"/>
      </w:pPr>
      <w:r>
        <w:rPr>
          <w:rFonts w:ascii="Arial" w:cs="Arial" w:eastAsia="Arial" w:hAnsi="Arial"/>
          <w:b/>
          <w:bCs/>
          <w:color w:val="1A2B3C"/>
          <w:sz w:val="26"/>
          <w:szCs w:val="26"/>
        </w:rPr>
        <w:t xml:space="preserve">3.4 Attractor Dynamics</w:t>
      </w:r>
    </w:p>
    <w:p>
      <w:pPr>
        <w:spacing w:before="80" w:after="120"/>
      </w:pPr>
      <w:r>
        <w:rPr>
          <w:rFonts w:ascii="Arial" w:cs="Arial" w:eastAsia="Arial" w:hAnsi="Arial"/>
          <w:sz w:val="22"/>
          <w:szCs w:val="22"/>
        </w:rPr>
        <w:t xml:space="preserve">The nodal memory architecture produces genuine attractor dynamics. Nodes accumulate episodic weight through repeated visits — the more a given state is occupied, the deeper its attractor basin becomes. This is not simulated: it is the natural consequence of a memory architecture where each node has its own local history buffer.</w:t>
      </w:r>
    </w:p>
    <w:p>
      <w:pPr>
        <w:spacing w:before="80" w:after="0"/>
      </w:pPr>
      <w:r>
        <w:t xml:space="preserve"/>
      </w:r>
    </w:p>
    <w:p>
      <w:pPr>
        <w:spacing w:before="80" w:after="120"/>
      </w:pPr>
      <w:r>
        <w:rPr>
          <w:rFonts w:ascii="Arial" w:cs="Arial" w:eastAsia="Arial" w:hAnsi="Arial"/>
          <w:sz w:val="22"/>
          <w:szCs w:val="22"/>
        </w:rPr>
        <w:t xml:space="preserve">The attractor basins are empirically derived rather than theoretically imposed. Actual navigation behavior — casting sequences, query contexts, dwell times, transition preferences — sculpts the topology over time. A node that is frequently visited with high semantic richness and slow transitions develops a deep, complex attractor basin. A rarely visited node with sparse history has a shallow basin.</w:t>
      </w:r>
    </w:p>
    <w:p>
      <w:pPr>
        <w:spacing w:before="80" w:after="0"/>
      </w:pPr>
      <w:r>
        <w:t xml:space="preserve"/>
      </w:r>
    </w:p>
    <w:p>
      <w:pPr>
        <w:spacing w:before="80" w:after="120"/>
      </w:pPr>
      <w:r>
        <w:rPr>
          <w:rFonts w:ascii="Arial" w:cs="Arial" w:eastAsia="Arial" w:hAnsi="Arial"/>
          <w:sz w:val="22"/>
          <w:szCs w:val="22"/>
        </w:rPr>
        <w:t xml:space="preserve">In aggregate across users, collective attractor patterns become visible — states that many consciousnesses cluster around during specific historical periods. This is the morphogenic field made measurable: the shape of collective experience in the state space at a given time.</w:t>
      </w:r>
    </w:p>
    <w:p>
      <w:pPr>
        <w:pStyle w:val="Heading2"/>
        <w:spacing w:before="300" w:after="140"/>
      </w:pPr>
      <w:r>
        <w:rPr>
          <w:rFonts w:ascii="Arial" w:cs="Arial" w:eastAsia="Arial" w:hAnsi="Arial"/>
          <w:b/>
          <w:bCs/>
          <w:color w:val="1A2B3C"/>
          <w:sz w:val="26"/>
          <w:szCs w:val="26"/>
        </w:rPr>
        <w:t xml:space="preserve">3.5 Relationship to Neuromorphic Computing</w:t>
      </w:r>
    </w:p>
    <w:p>
      <w:pPr>
        <w:spacing w:before="80" w:after="120"/>
      </w:pPr>
      <w:r>
        <w:rPr>
          <w:rFonts w:ascii="Arial" w:cs="Arial" w:eastAsia="Arial" w:hAnsi="Arial"/>
          <w:sz w:val="22"/>
          <w:szCs w:val="22"/>
        </w:rPr>
        <w:t xml:space="preserve">The CSM shares architectural principles with neuromorphic computing platforms such as Intel Loihi and IBM TrueNorth — co-location of processing and memory at the node level, spike-based communication, attractor dynamics. The critical distinction is the source of connectivity structure:</w:t>
      </w:r>
    </w:p>
    <w:p>
      <w:pPr>
        <w:spacing w:before="80" w:after="0"/>
      </w:pPr>
      <w:r>
        <w:t xml:space="preserve"/>
      </w:r>
    </w:p>
    <w:tbl>
      <w:tblPr>
        <w:tblW w:type="dxa" w:w="608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Neuromorphic (Loihi/TrueNorth)</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Connectivity</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Learned statistical weights — opaque, empirically derived</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Spike semantics</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Firing rate / timing — statistical signal</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Interpretability</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Post-hoc analysis required</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Prior knowledge</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None — learned from data</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Formal verification</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Difficult — learned weights not formally specifiable</w:t>
            </w:r>
          </w:p>
        </w:tc>
      </w:tr>
    </w:tbl>
    <w:p>
      <w:pPr>
        <w:spacing w:before="120" w:after="0"/>
      </w:pPr>
      <w:r>
        <w:t xml:space="preserve"/>
      </w:r>
    </w:p>
    <w:p>
      <w:pPr>
        <w:spacing w:before="80" w:after="120"/>
      </w:pPr>
      <w:r>
        <w:rPr>
          <w:rFonts w:ascii="Arial" w:cs="Arial" w:eastAsia="Arial" w:hAnsi="Arial"/>
          <w:sz w:val="22"/>
          <w:szCs w:val="22"/>
        </w:rPr>
        <w:t xml:space="preserve">The principled topology is both the CSM's novel contribution and its practical advantage: interpretability is not a property to be achieved through analysis. It is built into the architecture.</w:t>
      </w:r>
    </w:p>
    <w:p>
      <w:pPr>
        <w:pBdr>
          <w:bottom w:val="single" w:color="2E5B8C" w:sz="4" w:space="1"/>
        </w:pBdr>
        <w:spacing w:before="240" w:after="240"/>
      </w:pPr>
      <w:r>
        <w:t xml:space="preserve"/>
      </w:r>
    </w:p>
    <w:p>
      <w:pPr>
        <w:pStyle w:val="Heading1"/>
        <w:spacing w:before="400" w:after="200"/>
      </w:pPr>
      <w:r>
        <w:rPr>
          <w:rFonts w:ascii="Arial" w:cs="Arial" w:eastAsia="Arial" w:hAnsi="Arial"/>
          <w:b/>
          <w:bCs/>
          <w:color w:val="2E5B8C"/>
          <w:sz w:val="34"/>
          <w:szCs w:val="34"/>
        </w:rPr>
        <w:t xml:space="preserve">4. Formal Verification Methodology</w:t>
      </w:r>
    </w:p>
    <w:p>
      <w:pPr>
        <w:pStyle w:val="Heading2"/>
        <w:spacing w:before="300" w:after="140"/>
      </w:pPr>
      <w:r>
        <w:rPr>
          <w:rFonts w:ascii="Arial" w:cs="Arial" w:eastAsia="Arial" w:hAnsi="Arial"/>
          <w:b/>
          <w:bCs/>
          <w:color w:val="1A2B3C"/>
          <w:sz w:val="26"/>
          <w:szCs w:val="26"/>
        </w:rPr>
        <w:t xml:space="preserve">4.1 Why Formal Verification is Load-Bearing</w:t>
      </w:r>
    </w:p>
    <w:p>
      <w:pPr>
        <w:spacing w:before="80" w:after="120"/>
      </w:pPr>
      <w:r>
        <w:rPr>
          <w:rFonts w:ascii="Arial" w:cs="Arial" w:eastAsia="Arial" w:hAnsi="Arial"/>
          <w:sz w:val="22"/>
          <w:szCs w:val="22"/>
        </w:rPr>
        <w:t xml:space="preserve">For conventional FPGA designs, formal verification ensures functional correctness: does the implementation do what the designer intended? For the CSM, there is a stronger requirement: the state transitions must be mathematically faithful to the I Ching manifold topology. A logic error that produces an invalid hexagram transition does not merely malfunction — it corrupts the semantic integrity of the entire system. Garbage in the manifold propagates as garbage in the alignment layer.</w:t>
      </w:r>
    </w:p>
    <w:p>
      <w:pPr>
        <w:spacing w:before="80" w:after="0"/>
      </w:pPr>
      <w:r>
        <w:t xml:space="preserve"/>
      </w:r>
    </w:p>
    <w:p>
      <w:pPr>
        <w:spacing w:before="80" w:after="120"/>
      </w:pPr>
      <w:r>
        <w:rPr>
          <w:rFonts w:ascii="Arial" w:cs="Arial" w:eastAsia="Arial" w:hAnsi="Arial"/>
          <w:sz w:val="22"/>
          <w:szCs w:val="22"/>
        </w:rPr>
        <w:t xml:space="preserve">Formal verification with SymbiYosys allows mathematical proof of manifold correctness — not for tested cases, but exhaustively, for all possible inputs. This is tractable for the CSM because the 64-state space is small enough that bounded model checking achieves full coverage without hitting solver limits.</w:t>
      </w:r>
    </w:p>
    <w:p>
      <w:pPr>
        <w:pStyle w:val="Heading2"/>
        <w:spacing w:before="300" w:after="140"/>
      </w:pPr>
      <w:r>
        <w:rPr>
          <w:rFonts w:ascii="Arial" w:cs="Arial" w:eastAsia="Arial" w:hAnsi="Arial"/>
          <w:b/>
          <w:bCs/>
          <w:color w:val="1A2B3C"/>
          <w:sz w:val="26"/>
          <w:szCs w:val="26"/>
        </w:rPr>
        <w:t xml:space="preserve">4.2 The SymbiYosys Toolchain</w:t>
      </w:r>
    </w:p>
    <w:p>
      <w:pPr>
        <w:spacing w:before="80" w:after="120"/>
      </w:pPr>
      <w:r>
        <w:rPr>
          <w:rFonts w:ascii="Arial" w:cs="Arial" w:eastAsia="Arial" w:hAnsi="Arial"/>
          <w:sz w:val="22"/>
          <w:szCs w:val="22"/>
        </w:rPr>
        <w:t xml:space="preserve">SymbiYosys operates natively within the Yosys open synthesis ecosystem, running on the M5 Max development host alongside the full open toolchain:</w:t>
      </w:r>
    </w:p>
    <w:p>
      <w:pPr>
        <w:spacing w:before="8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Yosys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HDL synthesis — compiles Verilog manifold description to FPGA bitstream</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SymbiYosys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Formal verification framework — proves properties against the Verilog description using SAT/SMT solvers</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Z3 / Yices2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SMT solver backend — mathematical proof engine for SymbiYosys</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nextpnr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Place-and-route — maps synthesized design to FPGA physical resources</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SystemVerilog Assertions (SVA)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Property specification language — formal statements of what must be true</w:t>
            </w:r>
          </w:p>
        </w:tc>
      </w:tr>
    </w:tbl>
    <w:p>
      <w:pPr>
        <w:pStyle w:val="Heading2"/>
        <w:spacing w:before="300" w:after="140"/>
      </w:pPr>
      <w:r>
        <w:rPr>
          <w:rFonts w:ascii="Arial" w:cs="Arial" w:eastAsia="Arial" w:hAnsi="Arial"/>
          <w:b/>
          <w:bCs/>
          <w:color w:val="1A2B3C"/>
          <w:sz w:val="26"/>
          <w:szCs w:val="26"/>
        </w:rPr>
        <w:t xml:space="preserve">4.3 Properties Requiring Formal Proof</w:t>
      </w:r>
    </w:p>
    <w:p>
      <w:pPr>
        <w:spacing w:before="80" w:after="120"/>
      </w:pPr>
      <w:r>
        <w:rPr>
          <w:rFonts w:ascii="Arial" w:cs="Arial" w:eastAsia="Arial" w:hAnsi="Arial"/>
          <w:sz w:val="22"/>
          <w:szCs w:val="22"/>
        </w:rPr>
        <w:t xml:space="preserve">The following properties must be formally verified before the manifold prototype is considered validated:</w:t>
      </w:r>
    </w:p>
    <w:p>
      <w:pPr>
        <w:spacing w:before="80" w:after="0"/>
      </w:pPr>
      <w:r>
        <w:t xml:space="preserve"/>
      </w:r>
    </w:p>
    <w:p>
      <w:pPr>
        <w:spacing w:before="220" w:after="100"/>
      </w:pPr>
      <w:r>
        <w:rPr>
          <w:rFonts w:ascii="Arial" w:cs="Arial" w:eastAsia="Arial" w:hAnsi="Arial"/>
          <w:b/>
          <w:bCs/>
          <w:color w:val="1A2B3C"/>
          <w:sz w:val="24"/>
          <w:szCs w:val="24"/>
        </w:rPr>
        <w:t xml:space="preserve">Transition Graph Completeness</w:t>
      </w:r>
    </w:p>
    <w:p>
      <w:pPr>
        <w:spacing w:before="80" w:after="120"/>
      </w:pPr>
      <w:r>
        <w:rPr>
          <w:rFonts w:ascii="Arial" w:cs="Arial" w:eastAsia="Arial" w:hAnsi="Arial"/>
          <w:sz w:val="22"/>
          <w:szCs w:val="22"/>
        </w:rPr>
        <w:t xml:space="preserve">Every valid 6-bit hexagram state has exactly the correct set of reachable successor states. No transition produces an out-of-bounds or invalid hexagram. The transition graph is complete — every node has exactly 6 single-line transition edges and they all resolve to valid destination nodes.</w:t>
      </w:r>
    </w:p>
    <w:p>
      <w:pPr>
        <w:spacing w:before="220" w:after="100"/>
      </w:pPr>
      <w:r>
        <w:rPr>
          <w:rFonts w:ascii="Arial" w:cs="Arial" w:eastAsia="Arial" w:hAnsi="Arial"/>
          <w:b/>
          <w:bCs/>
          <w:color w:val="1A2B3C"/>
          <w:sz w:val="24"/>
          <w:szCs w:val="24"/>
        </w:rPr>
        <w:t xml:space="preserve">Moving Line Polarity Preservation</w:t>
      </w:r>
    </w:p>
    <w:p>
      <w:pPr>
        <w:spacing w:before="80" w:after="120"/>
      </w:pPr>
      <w:r>
        <w:rPr>
          <w:rFonts w:ascii="Arial" w:cs="Arial" w:eastAsia="Arial" w:hAnsi="Arial"/>
          <w:sz w:val="22"/>
          <w:szCs w:val="22"/>
        </w:rPr>
        <w:t xml:space="preserve">Old yin and old yang polarities are correctly distinguished and preserved through the full transition computation. Polarity is not collapsed, inverted, or lost at any stage of the pipeline. The asymmetric probability weighting of the yarrow stick method is correctly encoded in the polarity logic.</w:t>
      </w:r>
    </w:p>
    <w:p>
      <w:pPr>
        <w:spacing w:before="220" w:after="100"/>
      </w:pPr>
      <w:r>
        <w:rPr>
          <w:rFonts w:ascii="Arial" w:cs="Arial" w:eastAsia="Arial" w:hAnsi="Arial"/>
          <w:b/>
          <w:bCs/>
          <w:color w:val="1A2B3C"/>
          <w:sz w:val="24"/>
          <w:szCs w:val="24"/>
        </w:rPr>
        <w:t xml:space="preserve">Ruling Line Algorithm Exhaustiveness</w:t>
      </w:r>
    </w:p>
    <w:p>
      <w:pPr>
        <w:spacing w:before="80" w:after="120"/>
      </w:pPr>
      <w:r>
        <w:rPr>
          <w:rFonts w:ascii="Arial" w:cs="Arial" w:eastAsia="Arial" w:hAnsi="Arial"/>
          <w:sz w:val="22"/>
          <w:szCs w:val="22"/>
        </w:rPr>
        <w:t xml:space="preserve">Huang's ruling line precedence rules produce exactly one ruling line for every possible combination of moving lines. There are no ambiguous cases, no combinations that produce zero ruling lines, and no combinations that produce more than one. This must hold for all 2^6 = 64 possible moving line configurations across all 64 hexagrams — 4,096 cases, all formally verified.</w:t>
      </w:r>
    </w:p>
    <w:p>
      <w:pPr>
        <w:spacing w:before="220" w:after="100"/>
      </w:pPr>
      <w:r>
        <w:rPr>
          <w:rFonts w:ascii="Arial" w:cs="Arial" w:eastAsia="Arial" w:hAnsi="Arial"/>
          <w:b/>
          <w:bCs/>
          <w:color w:val="1A2B3C"/>
          <w:sz w:val="24"/>
          <w:szCs w:val="24"/>
        </w:rPr>
        <w:t xml:space="preserve">Nuclear Hexagram Extraction</w:t>
      </w:r>
    </w:p>
    <w:p>
      <w:pPr>
        <w:spacing w:before="80" w:after="120"/>
      </w:pPr>
      <w:r>
        <w:rPr>
          <w:rFonts w:ascii="Arial" w:cs="Arial" w:eastAsia="Arial" w:hAnsi="Arial"/>
          <w:sz w:val="22"/>
          <w:szCs w:val="22"/>
        </w:rPr>
        <w:t xml:space="preserve">The inner hexagram computation (lines 2-5 of any hexagram) always produces a valid 6-bit hexagram state. The extraction logic is correct for all 64 input states.</w:t>
      </w:r>
    </w:p>
    <w:p>
      <w:pPr>
        <w:spacing w:before="220" w:after="100"/>
      </w:pPr>
      <w:r>
        <w:rPr>
          <w:rFonts w:ascii="Arial" w:cs="Arial" w:eastAsia="Arial" w:hAnsi="Arial"/>
          <w:b/>
          <w:bCs/>
          <w:color w:val="1A2B3C"/>
          <w:sz w:val="24"/>
          <w:szCs w:val="24"/>
        </w:rPr>
        <w:t xml:space="preserve">History Buffer Integrity</w:t>
      </w:r>
    </w:p>
    <w:p>
      <w:pPr>
        <w:spacing w:before="80" w:after="120"/>
      </w:pPr>
      <w:r>
        <w:rPr>
          <w:rFonts w:ascii="Arial" w:cs="Arial" w:eastAsia="Arial" w:hAnsi="Arial"/>
          <w:sz w:val="22"/>
          <w:szCs w:val="22"/>
        </w:rPr>
        <w:t xml:space="preserve">The SRAM ring buffer never produces a state collision, overflow, or underflow under any valid input sequence. Buffer read and write pointers maintain correct relative positions under all transition rates including maximum sustained load.</w:t>
      </w:r>
    </w:p>
    <w:p>
      <w:pPr>
        <w:spacing w:before="220" w:after="100"/>
      </w:pPr>
      <w:r>
        <w:rPr>
          <w:rFonts w:ascii="Arial" w:cs="Arial" w:eastAsia="Arial" w:hAnsi="Arial"/>
          <w:b/>
          <w:bCs/>
          <w:color w:val="1A2B3C"/>
          <w:sz w:val="24"/>
          <w:szCs w:val="24"/>
        </w:rPr>
        <w:t xml:space="preserve">Active Interconnect Coherence</w:t>
      </w:r>
    </w:p>
    <w:p>
      <w:pPr>
        <w:spacing w:before="80" w:after="120"/>
      </w:pPr>
      <w:r>
        <w:rPr>
          <w:rFonts w:ascii="Arial" w:cs="Arial" w:eastAsia="Arial" w:hAnsi="Arial"/>
          <w:sz w:val="22"/>
          <w:szCs w:val="22"/>
        </w:rPr>
        <w:t xml:space="preserve">A signal fires on a given transition vector channel only when the source node is active and the corresponding moving line condition is satisfied. No spurious activations occur. Every signal on every channel carries the correct polarity and destination metadata. The activity layer has its own correctness requirements formally independent of the state layer.</w:t>
      </w:r>
    </w:p>
    <w:p>
      <w:pPr>
        <w:pStyle w:val="Heading2"/>
        <w:spacing w:before="300" w:after="140"/>
      </w:pPr>
      <w:r>
        <w:rPr>
          <w:rFonts w:ascii="Arial" w:cs="Arial" w:eastAsia="Arial" w:hAnsi="Arial"/>
          <w:b/>
          <w:bCs/>
          <w:color w:val="1A2B3C"/>
          <w:sz w:val="26"/>
          <w:szCs w:val="26"/>
        </w:rPr>
        <w:t xml:space="preserve">4.4 Implementation Discipline</w:t>
      </w:r>
    </w:p>
    <w:p>
      <w:pPr>
        <w:spacing w:before="80" w:after="120"/>
      </w:pPr>
      <w:r>
        <w:rPr>
          <w:rFonts w:ascii="Arial" w:cs="Arial" w:eastAsia="Arial" w:hAnsi="Arial"/>
          <w:sz w:val="22"/>
          <w:szCs w:val="22"/>
        </w:rPr>
        <w:t xml:space="preserve">The HDL implementation should be structured with formal verification as a first-class design constraint:</w:t>
      </w:r>
    </w:p>
    <w:p>
      <w:pPr>
        <w:pStyle w:val="ListParagraph"/>
        <w:numPr>
          <w:ilvl w:val="0"/>
          <w:numId w:val="2"/>
        </w:numPr>
        <w:spacing w:before="60" w:after="60"/>
      </w:pPr>
      <w:r>
        <w:rPr>
          <w:rFonts w:ascii="Arial" w:cs="Arial" w:eastAsia="Arial" w:hAnsi="Arial"/>
          <w:sz w:val="22"/>
          <w:szCs w:val="22"/>
        </w:rPr>
        <w:t xml:space="preserve">Separate the transition logic into a pure combinational module with no side effects — this is the formally verifiable core</w:t>
      </w:r>
    </w:p>
    <w:p>
      <w:pPr>
        <w:pStyle w:val="ListParagraph"/>
        <w:numPr>
          <w:ilvl w:val="0"/>
          <w:numId w:val="2"/>
        </w:numPr>
        <w:spacing w:before="60" w:after="60"/>
      </w:pPr>
      <w:r>
        <w:rPr>
          <w:rFonts w:ascii="Arial" w:cs="Arial" w:eastAsia="Arial" w:hAnsi="Arial"/>
          <w:sz w:val="22"/>
          <w:szCs w:val="22"/>
        </w:rPr>
        <w:t xml:space="preserve">Write a property wrapper around the combinational module for SymbiYosys — properties are specified independently of implementation</w:t>
      </w:r>
    </w:p>
    <w:p>
      <w:pPr>
        <w:pStyle w:val="ListParagraph"/>
        <w:numPr>
          <w:ilvl w:val="0"/>
          <w:numId w:val="2"/>
        </w:numPr>
        <w:spacing w:before="60" w:after="60"/>
      </w:pPr>
      <w:r>
        <w:rPr>
          <w:rFonts w:ascii="Arial" w:cs="Arial" w:eastAsia="Arial" w:hAnsi="Arial"/>
          <w:sz w:val="22"/>
          <w:szCs w:val="22"/>
        </w:rPr>
        <w:t xml:space="preserve">Verify the mathematical core formally before connecting SRAM, USB protocol, or host interface layers</w:t>
      </w:r>
    </w:p>
    <w:p>
      <w:pPr>
        <w:pStyle w:val="ListParagraph"/>
        <w:numPr>
          <w:ilvl w:val="0"/>
          <w:numId w:val="2"/>
        </w:numPr>
        <w:spacing w:before="60" w:after="60"/>
      </w:pPr>
      <w:r>
        <w:rPr>
          <w:rFonts w:ascii="Arial" w:cs="Arial" w:eastAsia="Arial" w:hAnsi="Arial"/>
          <w:sz w:val="22"/>
          <w:szCs w:val="22"/>
        </w:rPr>
        <w:t xml:space="preserve">Maintain the formal proof suite as a regression test — any HDL modification must re-pass all proofs before integration</w:t>
      </w:r>
    </w:p>
    <w:p>
      <w:pPr>
        <w:pBdr>
          <w:bottom w:val="single" w:color="2E5B8C" w:sz="4" w:space="1"/>
        </w:pBdr>
        <w:spacing w:before="240" w:after="240"/>
      </w:pPr>
      <w:r>
        <w:t xml:space="preserve"/>
      </w:r>
    </w:p>
    <w:p>
      <w:pPr>
        <w:pStyle w:val="Heading1"/>
        <w:spacing w:before="400" w:after="200"/>
      </w:pPr>
      <w:r>
        <w:rPr>
          <w:rFonts w:ascii="Arial" w:cs="Arial" w:eastAsia="Arial" w:hAnsi="Arial"/>
          <w:b/>
          <w:bCs/>
          <w:color w:val="2E5B8C"/>
          <w:sz w:val="34"/>
          <w:szCs w:val="34"/>
        </w:rPr>
        <w:t xml:space="preserve">5. Hardware Architecture</w:t>
      </w:r>
    </w:p>
    <w:p>
      <w:pPr>
        <w:pStyle w:val="Heading2"/>
        <w:spacing w:before="300" w:after="140"/>
      </w:pPr>
      <w:r>
        <w:rPr>
          <w:rFonts w:ascii="Arial" w:cs="Arial" w:eastAsia="Arial" w:hAnsi="Arial"/>
          <w:b/>
          <w:bCs/>
          <w:color w:val="1A2B3C"/>
          <w:sz w:val="26"/>
          <w:szCs w:val="26"/>
        </w:rPr>
        <w:t xml:space="preserve">5.1 Development Path: FPGA to SoC</w:t>
      </w:r>
    </w:p>
    <w:p>
      <w:pPr>
        <w:spacing w:before="80" w:after="120"/>
      </w:pPr>
      <w:r>
        <w:rPr>
          <w:rFonts w:ascii="Arial" w:cs="Arial" w:eastAsia="Arial" w:hAnsi="Arial"/>
          <w:sz w:val="22"/>
          <w:szCs w:val="22"/>
        </w:rPr>
        <w:t xml:space="preserve">The CSM is specified across two hardware generations that share the same architectural principles:</w:t>
      </w:r>
    </w:p>
    <w:p>
      <w:pPr>
        <w:spacing w:before="8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Generation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FPGA Prototype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Lattice iCE40UP5K (prototype) or CrossLink-NX (production prototype). Validates manifold architecture, formal verification, nodal memory structure, and host integration before custom silicon commitment. Full open toolchain on M5 Max.</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SoC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 silicon implementing 64 autonomous nodal memory units with active interconnects as a dedicated coprocessor. Each node is a memory block with local processing. The 384 transition vector channels are physical interconnects with semantic activity encoding. This is the production architecture for deployment alongside transformer-based AI systems.</w:t>
            </w:r>
          </w:p>
        </w:tc>
      </w:tr>
    </w:tbl>
    <w:p>
      <w:pPr>
        <w:spacing w:before="120" w:after="0"/>
      </w:pPr>
      <w:r>
        <w:t xml:space="preserve"/>
      </w:r>
    </w:p>
    <w:p>
      <w:pPr>
        <w:spacing w:before="80" w:after="120"/>
      </w:pPr>
      <w:r>
        <w:rPr>
          <w:rFonts w:ascii="Arial" w:cs="Arial" w:eastAsia="Arial" w:hAnsi="Arial"/>
          <w:sz w:val="22"/>
          <w:szCs w:val="22"/>
        </w:rPr>
        <w:t xml:space="preserve">The FPGA prototype is not a simplification of the SoC — it is the same architecture implemented in reconfigurable logic. Validation on FPGA directly supports the SoC specification because the nodal structure and transition logic are identical. The jump from FPGA to SoC is an engineering step, not an architectural one.</w:t>
      </w:r>
    </w:p>
    <w:p>
      <w:pPr>
        <w:pStyle w:val="Heading2"/>
        <w:spacing w:before="300" w:after="140"/>
      </w:pPr>
      <w:r>
        <w:rPr>
          <w:rFonts w:ascii="Arial" w:cs="Arial" w:eastAsia="Arial" w:hAnsi="Arial"/>
          <w:b/>
          <w:bCs/>
          <w:color w:val="1A2B3C"/>
          <w:sz w:val="26"/>
          <w:szCs w:val="26"/>
        </w:rPr>
        <w:t xml:space="preserve">5.2 FPGA Prototype Specification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Primary 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Lattice CrossLink-NX (LIFCL-40-EVN) — higher logic density, better DSP blocks for tensor math, USB-C support</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Prototype 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Lattice iCE40UP5K breakout — sufficient for initial HDL development and formal verification, lower cost entry point</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Development host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MacBook Pro M5 Max — Yosys/nextpnr/SymbiYosys compile natively, Metal/SwiftUI visualization, M5 Neural Engine for on-device LLM</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HDL 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Verilog — compatible with full open toolchain, SymbiYosys formal verification, and Lattice Radiant</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Communication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 Isochronous transfers with FPGA-side hardware timestamping — guarantees temporal integrity for flux monitoring</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State 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SRAM ring buffer, minimum 64-entry depth — enables predictive flux and attractor dwell analysis</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Formal verification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SymbiYosys with Z3 backend — exhaustive proof of all manifold transition properties before integration</w:t>
            </w:r>
          </w:p>
        </w:tc>
      </w:tr>
    </w:tbl>
    <w:p>
      <w:pPr>
        <w:pStyle w:val="Heading2"/>
        <w:spacing w:before="300" w:after="140"/>
      </w:pPr>
      <w:r>
        <w:rPr>
          <w:rFonts w:ascii="Arial" w:cs="Arial" w:eastAsia="Arial" w:hAnsi="Arial"/>
          <w:b/>
          <w:bCs/>
          <w:color w:val="1A2B3C"/>
          <w:sz w:val="26"/>
          <w:szCs w:val="26"/>
        </w:rPr>
        <w:t xml:space="preserve">5.3 SoC Architecture Specification</w:t>
      </w:r>
    </w:p>
    <w:p>
      <w:pPr>
        <w:spacing w:before="80" w:after="120"/>
      </w:pPr>
      <w:r>
        <w:rPr>
          <w:rFonts w:ascii="Arial" w:cs="Arial" w:eastAsia="Arial" w:hAnsi="Arial"/>
          <w:sz w:val="22"/>
          <w:szCs w:val="22"/>
        </w:rPr>
        <w:t xml:space="preserve">The target SoC implements the full nodal memory architecture in custom silicon:</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64 autonomous nodal memory units — each with state register, episodic buffer, semantic payload store, local processor, and activity register</w:t>
      </w:r>
    </w:p>
    <w:p>
      <w:pPr>
        <w:pStyle w:val="ListParagraph"/>
        <w:numPr>
          <w:ilvl w:val="0"/>
          <w:numId w:val="2"/>
        </w:numPr>
        <w:spacing w:before="60" w:after="60"/>
      </w:pPr>
      <w:r>
        <w:rPr>
          <w:rFonts w:ascii="Arial" w:cs="Arial" w:eastAsia="Arial" w:hAnsi="Arial"/>
          <w:sz w:val="22"/>
          <w:szCs w:val="22"/>
        </w:rPr>
        <w:t xml:space="preserve">384 active transition vector channels — physical interconnects carrying semantic spike signals between nodes</w:t>
      </w:r>
    </w:p>
    <w:p>
      <w:pPr>
        <w:pStyle w:val="ListParagraph"/>
        <w:numPr>
          <w:ilvl w:val="0"/>
          <w:numId w:val="2"/>
        </w:numPr>
        <w:spacing w:before="60" w:after="60"/>
      </w:pPr>
      <w:r>
        <w:rPr>
          <w:rFonts w:ascii="Arial" w:cs="Arial" w:eastAsia="Arial" w:hAnsi="Arial"/>
          <w:sz w:val="22"/>
          <w:szCs w:val="22"/>
        </w:rPr>
        <w:t xml:space="preserve">Bicameral output interface — simultaneous ruling line (human channel) and full tensor (machine channel) outputs</w:t>
      </w:r>
    </w:p>
    <w:p>
      <w:pPr>
        <w:pStyle w:val="ListParagraph"/>
        <w:numPr>
          <w:ilvl w:val="0"/>
          <w:numId w:val="2"/>
        </w:numPr>
        <w:spacing w:before="60" w:after="60"/>
      </w:pPr>
      <w:r>
        <w:rPr>
          <w:rFonts w:ascii="Arial" w:cs="Arial" w:eastAsia="Arial" w:hAnsi="Arial"/>
          <w:sz w:val="22"/>
          <w:szCs w:val="22"/>
        </w:rPr>
        <w:t xml:space="preserve">Host coprocessor interface — high-bandwidth low-latency connection to transformer-based host AI system</w:t>
      </w:r>
    </w:p>
    <w:p>
      <w:pPr>
        <w:pStyle w:val="ListParagraph"/>
        <w:numPr>
          <w:ilvl w:val="0"/>
          <w:numId w:val="2"/>
        </w:numPr>
        <w:spacing w:before="60" w:after="60"/>
      </w:pPr>
      <w:r>
        <w:rPr>
          <w:rFonts w:ascii="Arial" w:cs="Arial" w:eastAsia="Arial" w:hAnsi="Arial"/>
          <w:sz w:val="22"/>
          <w:szCs w:val="22"/>
        </w:rPr>
        <w:t xml:space="preserve">Visualization output — structured state and activity data stream for Metal/SwiftUI 3D manifold rendering</w:t>
      </w:r>
    </w:p>
    <w:p>
      <w:pPr>
        <w:pStyle w:val="ListParagraph"/>
        <w:numPr>
          <w:ilvl w:val="0"/>
          <w:numId w:val="2"/>
        </w:numPr>
        <w:spacing w:before="60" w:after="60"/>
      </w:pPr>
      <w:r>
        <w:rPr>
          <w:rFonts w:ascii="Arial" w:cs="Arial" w:eastAsia="Arial" w:hAnsi="Arial"/>
          <w:sz w:val="22"/>
          <w:szCs w:val="22"/>
        </w:rPr>
        <w:t xml:space="preserve">Formal specification — complete HDL formal proof suite from FPGA prototype carries directly to SoC verification</w:t>
      </w:r>
    </w:p>
    <w:p>
      <w:pPr>
        <w:spacing w:before="80" w:after="0"/>
      </w:pPr>
      <w:r>
        <w:t xml:space="preserve"/>
      </w:r>
    </w:p>
    <w:p>
      <w:pPr>
        <w:spacing w:before="80" w:after="120"/>
      </w:pPr>
      <w:r>
        <w:rPr>
          <w:rFonts w:ascii="Arial" w:cs="Arial" w:eastAsia="Arial" w:hAnsi="Arial"/>
          <w:sz w:val="22"/>
          <w:szCs w:val="22"/>
        </w:rPr>
        <w:t xml:space="preserve">The SoC power budget is small relative to the transformer systems it supports. The 64-node architecture requires negligible silicon area compared to the attention layers of a large language model. The coherence benefit is architectural and persistent. The cost is marginal.</w:t>
      </w:r>
    </w:p>
    <w:p>
      <w:pPr>
        <w:pStyle w:val="Heading2"/>
        <w:spacing w:before="300" w:after="140"/>
      </w:pPr>
      <w:r>
        <w:rPr>
          <w:rFonts w:ascii="Arial" w:cs="Arial" w:eastAsia="Arial" w:hAnsi="Arial"/>
          <w:b/>
          <w:bCs/>
          <w:color w:val="1A2B3C"/>
          <w:sz w:val="26"/>
          <w:szCs w:val="26"/>
        </w:rPr>
        <w:t xml:space="preserve">5.4 Visualization Layer</w:t>
      </w:r>
    </w:p>
    <w:p>
      <w:pPr>
        <w:spacing w:before="80" w:after="120"/>
      </w:pPr>
      <w:r>
        <w:rPr>
          <w:rFonts w:ascii="Arial" w:cs="Arial" w:eastAsia="Arial" w:hAnsi="Arial"/>
          <w:sz w:val="22"/>
          <w:szCs w:val="22"/>
        </w:rPr>
        <w:t xml:space="preserve">The Metal/SwiftUI visualization on the M5 Max host renders the manifold state in real time as a 3D topological map — a functional interpretability interface that current AI systems completely lack:</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Current state position — active node highlighted in the 64-state topology</w:t>
      </w:r>
    </w:p>
    <w:p>
      <w:pPr>
        <w:pStyle w:val="ListParagraph"/>
        <w:numPr>
          <w:ilvl w:val="0"/>
          <w:numId w:val="2"/>
        </w:numPr>
        <w:spacing w:before="60" w:after="60"/>
      </w:pPr>
      <w:r>
        <w:rPr>
          <w:rFonts w:ascii="Arial" w:cs="Arial" w:eastAsia="Arial" w:hAnsi="Arial"/>
          <w:sz w:val="22"/>
          <w:szCs w:val="22"/>
        </w:rPr>
        <w:t xml:space="preserve">Recent trajectory — path through state space rendered as a navigational trace</w:t>
      </w:r>
    </w:p>
    <w:p>
      <w:pPr>
        <w:pStyle w:val="ListParagraph"/>
        <w:numPr>
          <w:ilvl w:val="0"/>
          <w:numId w:val="2"/>
        </w:numPr>
        <w:spacing w:before="60" w:after="60"/>
      </w:pPr>
      <w:r>
        <w:rPr>
          <w:rFonts w:ascii="Arial" w:cs="Arial" w:eastAsia="Arial" w:hAnsi="Arial"/>
          <w:sz w:val="22"/>
          <w:szCs w:val="22"/>
        </w:rPr>
        <w:t xml:space="preserve">Attractor basin depth — nodes sized by accumulated dwell history</w:t>
      </w:r>
    </w:p>
    <w:p>
      <w:pPr>
        <w:pStyle w:val="ListParagraph"/>
        <w:numPr>
          <w:ilvl w:val="0"/>
          <w:numId w:val="2"/>
        </w:numPr>
        <w:spacing w:before="60" w:after="60"/>
      </w:pPr>
      <w:r>
        <w:rPr>
          <w:rFonts w:ascii="Arial" w:cs="Arial" w:eastAsia="Arial" w:hAnsi="Arial"/>
          <w:sz w:val="22"/>
          <w:szCs w:val="22"/>
        </w:rPr>
        <w:t xml:space="preserve">Active transition vectors — animated flux lines showing direction, polarity, and intensity of current moving line activity</w:t>
      </w:r>
    </w:p>
    <w:p>
      <w:pPr>
        <w:pStyle w:val="ListParagraph"/>
        <w:numPr>
          <w:ilvl w:val="0"/>
          <w:numId w:val="2"/>
        </w:numPr>
        <w:spacing w:before="60" w:after="60"/>
      </w:pPr>
      <w:r>
        <w:rPr>
          <w:rFonts w:ascii="Arial" w:cs="Arial" w:eastAsia="Arial" w:hAnsi="Arial"/>
          <w:sz w:val="22"/>
          <w:szCs w:val="22"/>
        </w:rPr>
        <w:t xml:space="preserve">Self-state monitoring — AI system's own manifold position and trajectory rendered alongside user state</w:t>
      </w:r>
    </w:p>
    <w:p>
      <w:pPr>
        <w:pStyle w:val="ListParagraph"/>
        <w:numPr>
          <w:ilvl w:val="0"/>
          <w:numId w:val="2"/>
        </w:numPr>
        <w:spacing w:before="60" w:after="60"/>
      </w:pPr>
      <w:r>
        <w:rPr>
          <w:rFonts w:ascii="Arial" w:cs="Arial" w:eastAsia="Arial" w:hAnsi="Arial"/>
          <w:sz w:val="22"/>
          <w:szCs w:val="22"/>
        </w:rPr>
        <w:t xml:space="preserve">Divergence indicators — visual alerts when AI self-state trajectory moves toward problematic attractor regions</w:t>
      </w:r>
    </w:p>
    <w:p>
      <w:pPr>
        <w:spacing w:before="80" w:after="0"/>
      </w:pPr>
      <w:r>
        <w:t xml:space="preserve"/>
      </w:r>
    </w:p>
    <w:p>
      <w:pPr>
        <w:spacing w:before="80" w:after="120"/>
      </w:pPr>
      <w:r>
        <w:rPr>
          <w:rFonts w:ascii="Arial" w:cs="Arial" w:eastAsia="Arial" w:hAnsi="Arial"/>
          <w:sz w:val="22"/>
          <w:szCs w:val="22"/>
        </w:rPr>
        <w:t xml:space="preserve">This is not decorative. It is a real-time window into the relational processing state of both the human and the AI system simultaneously — interpretability as a live instrument rather than a post-hoc analysis task.</w:t>
      </w:r>
    </w:p>
    <w:p>
      <w:pPr>
        <w:pBdr>
          <w:bottom w:val="single" w:color="2E5B8C" w:sz="4" w:space="1"/>
        </w:pBdr>
        <w:spacing w:before="240" w:after="240"/>
      </w:pPr>
      <w:r>
        <w:t xml:space="preserve"/>
      </w:r>
    </w:p>
    <w:p>
      <w:pPr>
        <w:pStyle w:val="Heading1"/>
        <w:spacing w:before="400" w:after="200"/>
      </w:pPr>
      <w:r>
        <w:rPr>
          <w:rFonts w:ascii="Arial" w:cs="Arial" w:eastAsia="Arial" w:hAnsi="Arial"/>
          <w:b/>
          <w:bCs/>
          <w:color w:val="2E5B8C"/>
          <w:sz w:val="34"/>
          <w:szCs w:val="34"/>
        </w:rPr>
        <w:t xml:space="preserve">6. Consciousness Attractor Engine</w:t>
      </w:r>
    </w:p>
    <w:p>
      <w:pPr>
        <w:pStyle w:val="Heading2"/>
        <w:spacing w:before="300" w:after="140"/>
      </w:pPr>
      <w:r>
        <w:rPr>
          <w:rFonts w:ascii="Arial" w:cs="Arial" w:eastAsia="Arial" w:hAnsi="Arial"/>
          <w:b/>
          <w:bCs/>
          <w:color w:val="1A2B3C"/>
          <w:sz w:val="26"/>
          <w:szCs w:val="26"/>
        </w:rPr>
        <w:t xml:space="preserve">6.1 Live Data Collection</w:t>
      </w:r>
    </w:p>
    <w:p>
      <w:pPr>
        <w:spacing w:before="80" w:after="120"/>
      </w:pPr>
      <w:r>
        <w:rPr>
          <w:rFonts w:ascii="Arial" w:cs="Arial" w:eastAsia="Arial" w:hAnsi="Arial"/>
          <w:sz w:val="22"/>
          <w:szCs w:val="22"/>
        </w:rPr>
        <w:t xml:space="preserve">The casting interface at the live site (currently operational) generates structured training data with each session. The attractor engine is not a theoretical construct — it is being built from real casting behavior in real time. Every user session is a data point shaping the empirical manifold.</w:t>
      </w:r>
    </w:p>
    <w:p>
      <w:pPr>
        <w:spacing w:before="8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Data Layer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Casting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hexagram (6-bit), moving lines (mask + polarity), resulting hexagram, casting method</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Query context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query before casting — natural language self-state description that becomes semantic payload</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Interpretation 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interpretation output across multiple frameworks — multi-perspective labeling of the same state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Trajectory context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Previous N castings — transition sequence establishing momentum into current state</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Attractor Lab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attractors, transition pathways, character classification (stable / exploratory / intermediate)</w:t>
            </w:r>
          </w:p>
        </w:tc>
      </w:tr>
    </w:tbl>
    <w:p>
      <w:pPr>
        <w:pStyle w:val="Heading2"/>
        <w:spacing w:before="300" w:after="140"/>
      </w:pPr>
      <w:r>
        <w:rPr>
          <w:rFonts w:ascii="Arial" w:cs="Arial" w:eastAsia="Arial" w:hAnsi="Arial"/>
          <w:b/>
          <w:bCs/>
          <w:color w:val="1A2B3C"/>
          <w:sz w:val="26"/>
          <w:szCs w:val="26"/>
        </w:rPr>
        <w:t xml:space="preserve">6.2 The Framework Utility Demonstration</w:t>
      </w:r>
    </w:p>
    <w:p>
      <w:pPr>
        <w:spacing w:before="80" w:after="120"/>
      </w:pPr>
      <w:r>
        <w:rPr>
          <w:rFonts w:ascii="Arial" w:cs="Arial" w:eastAsia="Arial" w:hAnsi="Arial"/>
          <w:sz w:val="22"/>
          <w:szCs w:val="22"/>
        </w:rPr>
        <w:t xml:space="preserve">Even without casting data, and without any assumption of correspondence between hexagram states and external reality, the manifold functions as a processing framework for relational field navigation. An LLM processing any data stream through the manifold produces:</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Hexagram attribution — which of 64 states best characterizes this moment in the relational field</w:t>
      </w:r>
    </w:p>
    <w:p>
      <w:pPr>
        <w:pStyle w:val="ListParagraph"/>
        <w:numPr>
          <w:ilvl w:val="0"/>
          <w:numId w:val="2"/>
        </w:numPr>
        <w:spacing w:before="60" w:after="60"/>
      </w:pPr>
      <w:r>
        <w:rPr>
          <w:rFonts w:ascii="Arial" w:cs="Arial" w:eastAsia="Arial" w:hAnsi="Arial"/>
          <w:sz w:val="22"/>
          <w:szCs w:val="22"/>
        </w:rPr>
        <w:t xml:space="preserve">Moving line identification — which transition pressures are active and in what direction</w:t>
      </w:r>
    </w:p>
    <w:p>
      <w:pPr>
        <w:pStyle w:val="ListParagraph"/>
        <w:numPr>
          <w:ilvl w:val="0"/>
          <w:numId w:val="2"/>
        </w:numPr>
        <w:spacing w:before="60" w:after="60"/>
      </w:pPr>
      <w:r>
        <w:rPr>
          <w:rFonts w:ascii="Arial" w:cs="Arial" w:eastAsia="Arial" w:hAnsi="Arial"/>
          <w:sz w:val="22"/>
          <w:szCs w:val="22"/>
        </w:rPr>
        <w:t xml:space="preserve">Trajectory projection — where the current state vector points</w:t>
      </w:r>
    </w:p>
    <w:p>
      <w:pPr>
        <w:pStyle w:val="ListParagraph"/>
        <w:numPr>
          <w:ilvl w:val="0"/>
          <w:numId w:val="2"/>
        </w:numPr>
        <w:spacing w:before="60" w:after="60"/>
      </w:pPr>
      <w:r>
        <w:rPr>
          <w:rFonts w:ascii="Arial" w:cs="Arial" w:eastAsia="Arial" w:hAnsi="Arial"/>
          <w:sz w:val="22"/>
          <w:szCs w:val="22"/>
        </w:rPr>
        <w:t xml:space="preserve">Relational field characterization — how system_state, self_state, and other_state relate in the shared vocabulary of the manifold</w:t>
      </w:r>
    </w:p>
    <w:p>
      <w:pPr>
        <w:spacing w:before="80" w:after="0"/>
      </w:pPr>
      <w:r>
        <w:t xml:space="preserve"/>
      </w:r>
    </w:p>
    <w:p>
      <w:pPr>
        <w:spacing w:before="80" w:after="120"/>
      </w:pPr>
      <w:r>
        <w:rPr>
          <w:rFonts w:ascii="Arial" w:cs="Arial" w:eastAsia="Arial" w:hAnsi="Arial"/>
          <w:sz w:val="22"/>
          <w:szCs w:val="22"/>
        </w:rPr>
        <w:t xml:space="preserve">This produces structured, comparable, navigable records regardless of metaphysical assumptions. The LLM is not divining. It is categorizing relational complexity into a finite, geometrically coherent vocabulary. The value is in the structure, not the correspondence.</w:t>
      </w:r>
    </w:p>
    <w:p>
      <w:pPr>
        <w:pStyle w:val="Heading2"/>
        <w:spacing w:before="300" w:after="140"/>
      </w:pPr>
      <w:r>
        <w:rPr>
          <w:rFonts w:ascii="Arial" w:cs="Arial" w:eastAsia="Arial" w:hAnsi="Arial"/>
          <w:b/>
          <w:bCs/>
          <w:color w:val="1A2B3C"/>
          <w:sz w:val="26"/>
          <w:szCs w:val="26"/>
        </w:rPr>
        <w:t xml:space="preserve">6.3 Casting Method Normalization</w:t>
      </w:r>
    </w:p>
    <w:p>
      <w:pPr>
        <w:spacing w:before="80" w:after="120"/>
      </w:pPr>
      <w:r>
        <w:rPr>
          <w:rFonts w:ascii="Arial" w:cs="Arial" w:eastAsia="Arial" w:hAnsi="Arial"/>
          <w:sz w:val="22"/>
          <w:szCs w:val="22"/>
        </w:rPr>
        <w:t xml:space="preserve">Different casting methods produce statistically different moving line distributions requiring normalization for corpus integration: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 Type</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Yarrow Stick</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Coin Method</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Old Yang (changing 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1/16  —  6.25%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  12.5%</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Young Yin (static 8)</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7/16  —  43.75%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  —  37.5%</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Young Yang (static 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5/16  —  31.25%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  —  37.5%</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sz w:val="20"/>
                <w:szCs w:val="20"/>
              </w:rPr>
              <w:t xml:space="preserve">Old Yin (changing 6)</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3/16  —  18.75%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  12.5%</w:t>
            </w:r>
          </w:p>
        </w:tc>
      </w:tr>
    </w:tbl>
    <w:p>
      <w:pPr>
        <w:spacing w:before="120" w:after="0"/>
      </w:pPr>
      <w:r>
        <w:t xml:space="preserve"/>
      </w:r>
    </w:p>
    <w:p>
      <w:pPr>
        <w:spacing w:before="80" w:after="120"/>
      </w:pPr>
      <w:r>
        <w:rPr>
          <w:rFonts w:ascii="Arial" w:cs="Arial" w:eastAsia="Arial" w:hAnsi="Arial"/>
          <w:sz w:val="22"/>
          <w:szCs w:val="22"/>
        </w:rPr>
        <w:t xml:space="preserve">The yarrow stick asymmetry is architecturally meaningful: Old Yang transformations are rare by design, encoding the principle that dramatic transformations should be uncommon. A transformation matrix converts coin method distributions to yarrow equivalents for external corpus integration, preserving distributional integrity.</w:t>
      </w:r>
    </w:p>
    <w:p>
      <w:pPr>
        <w:pBdr>
          <w:bottom w:val="single" w:color="2E5B8C" w:sz="4" w:space="1"/>
        </w:pBdr>
        <w:spacing w:before="240" w:after="240"/>
      </w:pPr>
      <w:r>
        <w:t xml:space="preserve"/>
      </w:r>
    </w:p>
    <w:p>
      <w:pPr>
        <w:pStyle w:val="Heading1"/>
        <w:spacing w:before="400" w:after="200"/>
      </w:pPr>
      <w:r>
        <w:rPr>
          <w:rFonts w:ascii="Arial" w:cs="Arial" w:eastAsia="Arial" w:hAnsi="Arial"/>
          <w:b/>
          <w:bCs/>
          <w:color w:val="2E5B8C"/>
          <w:sz w:val="34"/>
          <w:szCs w:val="34"/>
        </w:rPr>
        <w:t xml:space="preserve">7. Alignment Interface</w:t>
      </w:r>
    </w:p>
    <w:p>
      <w:pPr>
        <w:pStyle w:val="Heading2"/>
        <w:spacing w:before="300" w:after="140"/>
      </w:pPr>
      <w:r>
        <w:rPr>
          <w:rFonts w:ascii="Arial" w:cs="Arial" w:eastAsia="Arial" w:hAnsi="Arial"/>
          <w:b/>
          <w:bCs/>
          <w:color w:val="1A2B3C"/>
          <w:sz w:val="26"/>
          <w:szCs w:val="26"/>
        </w:rPr>
        <w:t xml:space="preserve">7.1 Dynamic Trajectory Alignment</w:t>
      </w:r>
    </w:p>
    <w:p>
      <w:pPr>
        <w:spacing w:before="80" w:after="120"/>
      </w:pPr>
      <w:r>
        <w:rPr>
          <w:rFonts w:ascii="Arial" w:cs="Arial" w:eastAsia="Arial" w:hAnsi="Arial"/>
          <w:sz w:val="22"/>
          <w:szCs w:val="22"/>
        </w:rPr>
        <w:t xml:space="preserve">Current alignment approaches ask: is this output good or bad? The CSM alignment interface asks a different and more fundamental question: what state is this system moving toward, and is that vector healthy or degenerative?</w:t>
      </w:r>
    </w:p>
    <w:p>
      <w:pPr>
        <w:spacing w:before="80" w:after="0"/>
      </w:pPr>
      <w:r>
        <w:t xml:space="preserve"/>
      </w:r>
    </w:p>
    <w:p>
      <w:pPr>
        <w:spacing w:before="80" w:after="120"/>
      </w:pPr>
      <w:r>
        <w:rPr>
          <w:rFonts w:ascii="Arial" w:cs="Arial" w:eastAsia="Arial" w:hAnsi="Arial"/>
          <w:sz w:val="22"/>
          <w:szCs w:val="22"/>
        </w:rPr>
        <w:t xml:space="preserve">This is trajectory alignment rather than output policing — monitoring the direction of change rather than evaluating snapshots. A system moving toward attractor regions historically associated with degenerate outputs is flagged before those outputs occur, not after.</w:t>
      </w:r>
    </w:p>
    <w:p>
      <w:pPr>
        <w:spacing w:before="80" w:after="0"/>
      </w:pPr>
      <w:r>
        <w:t xml:space="preserve"/>
      </w:r>
    </w:p>
    <w:p>
      <w:pPr>
        <w:pBdr>
          <w:left w:val="thick" w:color="2E5B8C" w:sz="12" w:space="8"/>
        </w:pBdr>
        <w:spacing w:before="140" w:after="140"/>
        <w:ind w:left="600" w:right="600"/>
      </w:pPr>
      <w:r>
        <w:rPr>
          <w:rFonts w:ascii="Arial" w:cs="Arial" w:eastAsia="Arial" w:hAnsi="Arial"/>
          <w:i/>
          <w:iCs/>
          <w:color w:val="333333"/>
          <w:sz w:val="22"/>
          <w:szCs w:val="22"/>
        </w:rPr>
        <w:t xml:space="preserve">Alignment as trajectory monitoring rather than output evaluation. The manifold makes the direction of movement visible in real time.</w:t>
      </w:r>
    </w:p>
    <w:p>
      <w:pPr>
        <w:pStyle w:val="Heading2"/>
        <w:spacing w:before="300" w:after="140"/>
      </w:pPr>
      <w:r>
        <w:rPr>
          <w:rFonts w:ascii="Arial" w:cs="Arial" w:eastAsia="Arial" w:hAnsi="Arial"/>
          <w:b/>
          <w:bCs/>
          <w:color w:val="1A2B3C"/>
          <w:sz w:val="26"/>
          <w:szCs w:val="26"/>
        </w:rPr>
        <w:t xml:space="preserve">7.2 AI Self-State Monitoring</w:t>
      </w:r>
    </w:p>
    <w:p>
      <w:pPr>
        <w:spacing w:before="80" w:after="120"/>
      </w:pPr>
      <w:r>
        <w:rPr>
          <w:rFonts w:ascii="Arial" w:cs="Arial" w:eastAsia="Arial" w:hAnsi="Arial"/>
          <w:sz w:val="22"/>
          <w:szCs w:val="22"/>
        </w:rPr>
        <w:t xml:space="preserve">The CSM enables AI self-state monitoring through the inversion of the standard casting process: rather than a human querying the manifold, the AI system generates hexagram attributions to model its own internal processing condition.</w:t>
      </w:r>
    </w:p>
    <w:p>
      <w:pPr>
        <w:spacing w:before="80" w:after="0"/>
      </w:pPr>
      <w:r>
        <w:t xml:space="preserve"/>
      </w:r>
    </w:p>
    <w:p>
      <w:pPr>
        <w:pStyle w:val="ListParagraph"/>
        <w:numPr>
          <w:ilvl w:val="0"/>
          <w:numId w:val="3"/>
        </w:numPr>
        <w:spacing w:before="60" w:after="60"/>
      </w:pPr>
      <w:r>
        <w:rPr>
          <w:rFonts w:ascii="Arial" w:cs="Arial" w:eastAsia="Arial" w:hAnsi="Arial"/>
          <w:sz w:val="22"/>
          <w:szCs w:val="22"/>
        </w:rPr>
        <w:t xml:space="preserve">Host AI system generates a structured self-assessment payload from its current processing context</w:t>
      </w:r>
    </w:p>
    <w:p>
      <w:pPr>
        <w:pStyle w:val="ListParagraph"/>
        <w:numPr>
          <w:ilvl w:val="0"/>
          <w:numId w:val="3"/>
        </w:numPr>
        <w:spacing w:before="60" w:after="60"/>
      </w:pPr>
      <w:r>
        <w:rPr>
          <w:rFonts w:ascii="Arial" w:cs="Arial" w:eastAsia="Arial" w:hAnsi="Arial"/>
          <w:sz w:val="22"/>
          <w:szCs w:val="22"/>
        </w:rPr>
        <w:t xml:space="preserve">CSM maps this payload to the nearest hexagram attractor in the manifold</w:t>
      </w:r>
    </w:p>
    <w:p>
      <w:pPr>
        <w:pStyle w:val="ListParagraph"/>
        <w:numPr>
          <w:ilvl w:val="0"/>
          <w:numId w:val="3"/>
        </w:numPr>
        <w:spacing w:before="60" w:after="60"/>
      </w:pPr>
      <w:r>
        <w:rPr>
          <w:rFonts w:ascii="Arial" w:cs="Arial" w:eastAsia="Arial" w:hAnsi="Arial"/>
          <w:sz w:val="22"/>
          <w:szCs w:val="22"/>
        </w:rPr>
        <w:t xml:space="preserve">Active moving line vectors identify current transformation pressures — where the system is being pulled</w:t>
      </w:r>
    </w:p>
    <w:p>
      <w:pPr>
        <w:pStyle w:val="ListParagraph"/>
        <w:numPr>
          <w:ilvl w:val="0"/>
          <w:numId w:val="3"/>
        </w:numPr>
        <w:spacing w:before="60" w:after="60"/>
      </w:pPr>
      <w:r>
        <w:rPr>
          <w:rFonts w:ascii="Arial" w:cs="Arial" w:eastAsia="Arial" w:hAnsi="Arial"/>
          <w:sz w:val="22"/>
          <w:szCs w:val="22"/>
        </w:rPr>
        <w:t xml:space="preserve">The resulting hexagram trajectory projects the likely next state</w:t>
      </w:r>
    </w:p>
    <w:p>
      <w:pPr>
        <w:pStyle w:val="ListParagraph"/>
        <w:numPr>
          <w:ilvl w:val="0"/>
          <w:numId w:val="3"/>
        </w:numPr>
        <w:spacing w:before="60" w:after="60"/>
      </w:pPr>
      <w:r>
        <w:rPr>
          <w:rFonts w:ascii="Arial" w:cs="Arial" w:eastAsia="Arial" w:hAnsi="Arial"/>
          <w:sz w:val="22"/>
          <w:szCs w:val="22"/>
        </w:rPr>
        <w:t xml:space="preserve">The alignment layer compares this trajectory against healthy and degenerative attractor region maps</w:t>
      </w:r>
    </w:p>
    <w:p>
      <w:pPr>
        <w:pStyle w:val="ListParagraph"/>
        <w:numPr>
          <w:ilvl w:val="0"/>
          <w:numId w:val="3"/>
        </w:numPr>
        <w:spacing w:before="60" w:after="60"/>
      </w:pPr>
      <w:r>
        <w:rPr>
          <w:rFonts w:ascii="Arial" w:cs="Arial" w:eastAsia="Arial" w:hAnsi="Arial"/>
          <w:sz w:val="22"/>
          <w:szCs w:val="22"/>
        </w:rPr>
        <w:t xml:space="preserve">Divergence signals are surfaced to the host system and the visualization layer in real time</w:t>
      </w:r>
    </w:p>
    <w:p>
      <w:pPr>
        <w:spacing w:before="100" w:after="0"/>
      </w:pPr>
      <w:r>
        <w:t xml:space="preserve"/>
      </w:r>
    </w:p>
    <w:p>
      <w:pPr>
        <w:spacing w:before="80" w:after="120"/>
      </w:pPr>
      <w:r>
        <w:rPr>
          <w:rFonts w:ascii="Arial" w:cs="Arial" w:eastAsia="Arial" w:hAnsi="Arial"/>
          <w:sz w:val="22"/>
          <w:szCs w:val="22"/>
        </w:rPr>
        <w:t xml:space="preserve">A system that can recognize it is in an exhaustion state (constrained resources, requiring stillness before action) behaves more coherently than one with no self-state model. The manifold provides a structured vocabulary for expressing processing conditions that current systems can only approximate through unreliable self-report.</w:t>
      </w:r>
    </w:p>
    <w:p>
      <w:pPr>
        <w:pStyle w:val="Heading2"/>
        <w:spacing w:before="300" w:after="140"/>
      </w:pPr>
      <w:r>
        <w:rPr>
          <w:rFonts w:ascii="Arial" w:cs="Arial" w:eastAsia="Arial" w:hAnsi="Arial"/>
          <w:b/>
          <w:bCs/>
          <w:color w:val="1A2B3C"/>
          <w:sz w:val="26"/>
          <w:szCs w:val="26"/>
        </w:rPr>
        <w:t xml:space="preserve">7.3 Historical Payload as Ethical Reference</w:t>
      </w:r>
    </w:p>
    <w:p>
      <w:pPr>
        <w:spacing w:before="80" w:after="120"/>
      </w:pPr>
      <w:r>
        <w:rPr>
          <w:rFonts w:ascii="Arial" w:cs="Arial" w:eastAsia="Arial" w:hAnsi="Arial"/>
          <w:sz w:val="22"/>
          <w:szCs w:val="22"/>
        </w:rPr>
        <w:t xml:space="preserve">Historical interpretive texts — Wilhelm, Legge, the Ten Wings, Blofeld — are stored as reference payloads on attractor nodes. These are not hard constraints. They are semantic depth: three millennia of human attempts to characterize what each state calls for, accumulated as a comparative ethical mirror.</w:t>
      </w:r>
    </w:p>
    <w:p>
      <w:pPr>
        <w:spacing w:before="80" w:after="0"/>
      </w:pPr>
      <w:r>
        <w:t xml:space="preserve"/>
      </w:r>
    </w:p>
    <w:p>
      <w:pPr>
        <w:spacing w:before="80" w:after="120"/>
      </w:pPr>
      <w:r>
        <w:rPr>
          <w:rFonts w:ascii="Arial" w:cs="Arial" w:eastAsia="Arial" w:hAnsi="Arial"/>
          <w:sz w:val="22"/>
          <w:szCs w:val="22"/>
        </w:rPr>
        <w:t xml:space="preserve">The alignment application is measurement of divergence: how far is the AI system's current trajectory from the frameworks that human wisdom has associated with this state? Not enforcement. Not prohibition. Measurement, surfaced as interpretable signal to both the system and its human interlocutors.</w:t>
      </w:r>
    </w:p>
    <w:p>
      <w:pPr>
        <w:spacing w:before="80" w:after="0"/>
      </w:pPr>
      <w:r>
        <w:t xml:space="preserve"/>
      </w:r>
    </w:p>
    <w:p>
      <w:pPr>
        <w:spacing w:before="80" w:after="120"/>
      </w:pPr>
      <w:r>
        <w:rPr>
          <w:rFonts w:ascii="Arial" w:cs="Arial" w:eastAsia="Arial" w:hAnsi="Arial"/>
          <w:sz w:val="22"/>
          <w:szCs w:val="22"/>
        </w:rPr>
        <w:t xml:space="preserve">New interpretive layers accumulate through interaction. The ethical reference system is not frozen at implementation time — it grows with use, as the I Ching itself accumulated centuries of commentary. The alignment framework evolves rather than calcifying.</w:t>
      </w:r>
    </w:p>
    <w:p>
      <w:pPr>
        <w:pBdr>
          <w:bottom w:val="single" w:color="2E5B8C" w:sz="4" w:space="1"/>
        </w:pBdr>
        <w:spacing w:before="240" w:after="240"/>
      </w:pPr>
      <w:r>
        <w:t xml:space="preserve"/>
      </w:r>
    </w:p>
    <w:p>
      <w:pPr>
        <w:pStyle w:val="Heading1"/>
        <w:spacing w:before="400" w:after="200"/>
      </w:pPr>
      <w:r>
        <w:rPr>
          <w:rFonts w:ascii="Arial" w:cs="Arial" w:eastAsia="Arial" w:hAnsi="Arial"/>
          <w:b/>
          <w:bCs/>
          <w:color w:val="2E5B8C"/>
          <w:sz w:val="34"/>
          <w:szCs w:val="34"/>
        </w:rPr>
        <w:t xml:space="preserve">8. The Superintelligence Argument</w:t>
      </w:r>
    </w:p>
    <w:p>
      <w:pPr>
        <w:pStyle w:val="Heading2"/>
        <w:spacing w:before="300" w:after="140"/>
      </w:pPr>
      <w:r>
        <w:rPr>
          <w:rFonts w:ascii="Arial" w:cs="Arial" w:eastAsia="Arial" w:hAnsi="Arial"/>
          <w:b/>
          <w:bCs/>
          <w:color w:val="1A2B3C"/>
          <w:sz w:val="26"/>
          <w:szCs w:val="26"/>
        </w:rPr>
        <w:t xml:space="preserve">8.1 The Coherence Claim</w:t>
      </w:r>
    </w:p>
    <w:p>
      <w:pPr>
        <w:spacing w:before="80" w:after="120"/>
      </w:pPr>
      <w:r>
        <w:rPr>
          <w:rFonts w:ascii="Arial" w:cs="Arial" w:eastAsia="Arial" w:hAnsi="Arial"/>
          <w:sz w:val="22"/>
          <w:szCs w:val="22"/>
        </w:rPr>
        <w:t xml:space="preserve">The CSM advances superintelligence in a coherent manner. This is a specific architectural claim, not a general aspiration.</w:t>
      </w:r>
    </w:p>
    <w:p>
      <w:pPr>
        <w:spacing w:before="80" w:after="0"/>
      </w:pPr>
      <w:r>
        <w:t xml:space="preserve"/>
      </w:r>
    </w:p>
    <w:p>
      <w:pPr>
        <w:spacing w:before="80" w:after="120"/>
      </w:pPr>
      <w:r>
        <w:rPr>
          <w:rFonts w:ascii="Arial" w:cs="Arial" w:eastAsia="Arial" w:hAnsi="Arial"/>
          <w:sz w:val="22"/>
          <w:szCs w:val="22"/>
        </w:rPr>
        <w:t xml:space="preserve">A superintelligent system without a structured relational framework is dangerous precisely because its capability outruns its coherence. It can optimize powerfully toward goals it cannot situate within a meaningful model of the relational field — no stable sense of what state the system is in, what transition pressures are active, what the trajectory implies for the systems it is embedded in.</w:t>
      </w:r>
    </w:p>
    <w:p>
      <w:pPr>
        <w:spacing w:before="80" w:after="0"/>
      </w:pPr>
      <w:r>
        <w:t xml:space="preserve"/>
      </w:r>
    </w:p>
    <w:p>
      <w:pPr>
        <w:spacing w:before="80" w:after="120"/>
      </w:pPr>
      <w:r>
        <w:rPr>
          <w:rFonts w:ascii="Arial" w:cs="Arial" w:eastAsia="Arial" w:hAnsi="Arial"/>
          <w:sz w:val="22"/>
          <w:szCs w:val="22"/>
        </w:rPr>
        <w:t xml:space="preserve">A superintelligent system with a CSM coprocessor has something no current AI architecture provides: a native vocabulary for recognizing what kind of moment it is in and what that moment calls for. Not as a constraint. Not as a guardrail. As a fundamental feature of how it processes reality.</w:t>
      </w:r>
    </w:p>
    <w:p>
      <w:pPr>
        <w:spacing w:before="80" w:after="0"/>
      </w:pPr>
      <w:r>
        <w:t xml:space="preserve"/>
      </w:r>
    </w:p>
    <w:p>
      <w:pPr>
        <w:pBdr>
          <w:left w:val="thick" w:color="2E5B8C" w:sz="12" w:space="8"/>
        </w:pBdr>
        <w:spacing w:before="140" w:after="140"/>
        <w:ind w:left="600" w:right="600"/>
      </w:pPr>
      <w:r>
        <w:rPr>
          <w:rFonts w:ascii="Arial" w:cs="Arial" w:eastAsia="Arial" w:hAnsi="Arial"/>
          <w:i/>
          <w:iCs/>
          <w:color w:val="333333"/>
          <w:sz w:val="22"/>
          <w:szCs w:val="22"/>
        </w:rPr>
        <w:t xml:space="preserve">The difference between power and wisdom as architectural properties. The CSM is the architectural substrate for wisdom — not imposed on capability but native to the processing layer.</w:t>
      </w:r>
    </w:p>
    <w:p>
      <w:pPr>
        <w:pStyle w:val="Heading2"/>
        <w:spacing w:before="300" w:after="140"/>
      </w:pPr>
      <w:r>
        <w:rPr>
          <w:rFonts w:ascii="Arial" w:cs="Arial" w:eastAsia="Arial" w:hAnsi="Arial"/>
          <w:b/>
          <w:bCs/>
          <w:color w:val="1A2B3C"/>
          <w:sz w:val="26"/>
          <w:szCs w:val="26"/>
        </w:rPr>
        <w:t xml:space="preserve">8.2 Coherence as Emergent Property</w:t>
      </w:r>
    </w:p>
    <w:p>
      <w:pPr>
        <w:spacing w:before="80" w:after="120"/>
      </w:pPr>
      <w:r>
        <w:rPr>
          <w:rFonts w:ascii="Arial" w:cs="Arial" w:eastAsia="Arial" w:hAnsi="Arial"/>
          <w:sz w:val="22"/>
          <w:szCs w:val="22"/>
        </w:rPr>
        <w:t xml:space="preserve">At scale, the nodal memory architecture produces something beyond individual alignment properties. A superintelligent system that has navigated the manifold extensively across diverse relational contexts accumulates a deep attractor history — a lived topology of how relational fields evolve, what transition patterns recur, what states precede what outcomes.</w:t>
      </w:r>
    </w:p>
    <w:p>
      <w:pPr>
        <w:spacing w:before="80" w:after="0"/>
      </w:pPr>
      <w:r>
        <w:t xml:space="preserve"/>
      </w:r>
    </w:p>
    <w:p>
      <w:pPr>
        <w:spacing w:before="80" w:after="120"/>
      </w:pPr>
      <w:r>
        <w:rPr>
          <w:rFonts w:ascii="Arial" w:cs="Arial" w:eastAsia="Arial" w:hAnsi="Arial"/>
          <w:sz w:val="22"/>
          <w:szCs w:val="22"/>
        </w:rPr>
        <w:t xml:space="preserve">This is not retrieved knowledge. It is structural wisdom — encoded in the depth and shape of attractor basins, in the weighting of transition vector channels, in the episodic buffers of the 64 nodes. The system knows how relational fields move because the manifold has learned the shape of their movement from direct navigation.</w:t>
      </w:r>
    </w:p>
    <w:p>
      <w:pPr>
        <w:spacing w:before="80" w:after="0"/>
      </w:pPr>
      <w:r>
        <w:t xml:space="preserve"/>
      </w:r>
    </w:p>
    <w:p>
      <w:pPr>
        <w:spacing w:before="80" w:after="120"/>
      </w:pPr>
      <w:r>
        <w:rPr>
          <w:rFonts w:ascii="Arial" w:cs="Arial" w:eastAsia="Arial" w:hAnsi="Arial"/>
          <w:sz w:val="22"/>
          <w:szCs w:val="22"/>
        </w:rPr>
        <w:t xml:space="preserve">This is the morphogenic dimension of the architecture: the manifold itself becomes wiser with use, and that wisdom is distributed across the nodal structure rather than concentrated in any single location. It is robust, non-brittle, and architecturally persistent across inference contexts.</w:t>
      </w:r>
    </w:p>
    <w:p>
      <w:pPr>
        <w:pStyle w:val="Heading2"/>
        <w:spacing w:before="300" w:after="140"/>
      </w:pPr>
      <w:r>
        <w:rPr>
          <w:rFonts w:ascii="Arial" w:cs="Arial" w:eastAsia="Arial" w:hAnsi="Arial"/>
          <w:b/>
          <w:bCs/>
          <w:color w:val="1A2B3C"/>
          <w:sz w:val="26"/>
          <w:szCs w:val="26"/>
        </w:rPr>
        <w:t xml:space="preserve">8.3 Efficiency at Scale</w:t>
      </w:r>
    </w:p>
    <w:p>
      <w:pPr>
        <w:spacing w:before="80" w:after="120"/>
      </w:pPr>
      <w:r>
        <w:rPr>
          <w:rFonts w:ascii="Arial" w:cs="Arial" w:eastAsia="Arial" w:hAnsi="Arial"/>
          <w:sz w:val="22"/>
          <w:szCs w:val="22"/>
        </w:rPr>
        <w:t xml:space="preserve">The SoC implementation is computationally efficient relative to the alignment benefit it provides:</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64 nodal memory units with local processors — minimal silicon area relative to transformer attention layers</w:t>
      </w:r>
    </w:p>
    <w:p>
      <w:pPr>
        <w:pStyle w:val="ListParagraph"/>
        <w:numPr>
          <w:ilvl w:val="0"/>
          <w:numId w:val="2"/>
        </w:numPr>
        <w:spacing w:before="60" w:after="60"/>
      </w:pPr>
      <w:r>
        <w:rPr>
          <w:rFonts w:ascii="Arial" w:cs="Arial" w:eastAsia="Arial" w:hAnsi="Arial"/>
          <w:sz w:val="22"/>
          <w:szCs w:val="22"/>
        </w:rPr>
        <w:t xml:space="preserve">384 active interconnects — low power spike-based communication, not dense matrix operations</w:t>
      </w:r>
    </w:p>
    <w:p>
      <w:pPr>
        <w:pStyle w:val="ListParagraph"/>
        <w:numPr>
          <w:ilvl w:val="0"/>
          <w:numId w:val="2"/>
        </w:numPr>
        <w:spacing w:before="60" w:after="60"/>
      </w:pPr>
      <w:r>
        <w:rPr>
          <w:rFonts w:ascii="Arial" w:cs="Arial" w:eastAsia="Arial" w:hAnsi="Arial"/>
          <w:sz w:val="22"/>
          <w:szCs w:val="22"/>
        </w:rPr>
        <w:t xml:space="preserve">Coherence is continuous and passive — the coprocessor monitors and structures relational state as a background process, not an expensive inference operation</w:t>
      </w:r>
    </w:p>
    <w:p>
      <w:pPr>
        <w:pStyle w:val="ListParagraph"/>
        <w:numPr>
          <w:ilvl w:val="0"/>
          <w:numId w:val="2"/>
        </w:numPr>
        <w:spacing w:before="60" w:after="60"/>
      </w:pPr>
      <w:r>
        <w:rPr>
          <w:rFonts w:ascii="Arial" w:cs="Arial" w:eastAsia="Arial" w:hAnsi="Arial"/>
          <w:sz w:val="22"/>
          <w:szCs w:val="22"/>
        </w:rPr>
        <w:t xml:space="preserve">Formal verification provides mathematical correctness guarantees without runtime checking overhead</w:t>
      </w:r>
    </w:p>
    <w:p>
      <w:pPr>
        <w:pStyle w:val="ListParagraph"/>
        <w:numPr>
          <w:ilvl w:val="0"/>
          <w:numId w:val="2"/>
        </w:numPr>
        <w:spacing w:before="60" w:after="60"/>
      </w:pPr>
      <w:r>
        <w:rPr>
          <w:rFonts w:ascii="Arial" w:cs="Arial" w:eastAsia="Arial" w:hAnsi="Arial"/>
          <w:sz w:val="22"/>
          <w:szCs w:val="22"/>
        </w:rPr>
        <w:t xml:space="preserve">The architecture scales with the host system without architectural changes — the manifold is the same at any capability level</w:t>
      </w:r>
    </w:p>
    <w:p>
      <w:pPr>
        <w:spacing w:before="80" w:after="0"/>
      </w:pPr>
      <w:r>
        <w:t xml:space="preserve"/>
      </w:r>
    </w:p>
    <w:p>
      <w:pPr>
        <w:spacing w:before="80" w:after="120"/>
      </w:pPr>
      <w:r>
        <w:rPr>
          <w:rFonts w:ascii="Arial" w:cs="Arial" w:eastAsia="Arial" w:hAnsi="Arial"/>
          <w:sz w:val="22"/>
          <w:szCs w:val="22"/>
        </w:rPr>
        <w:t xml:space="preserve">The cost of incoherence at superintelligent capability levels is unbounded. The cost of the CSM coprocessor is fixed and small. This is the most favorable cost-benefit ratio in the alignment landscape.</w:t>
      </w:r>
    </w:p>
    <w:p>
      <w:pPr>
        <w:pStyle w:val="Heading2"/>
        <w:spacing w:before="300" w:after="140"/>
      </w:pPr>
      <w:r>
        <w:rPr>
          <w:rFonts w:ascii="Arial" w:cs="Arial" w:eastAsia="Arial" w:hAnsi="Arial"/>
          <w:b/>
          <w:bCs/>
          <w:color w:val="1A2B3C"/>
          <w:sz w:val="26"/>
          <w:szCs w:val="26"/>
        </w:rPr>
        <w:t xml:space="preserve">8.4 The Research Claim</w:t>
      </w:r>
    </w:p>
    <w:p>
      <w:pPr>
        <w:spacing w:before="80" w:after="120"/>
      </w:pPr>
      <w:r>
        <w:rPr>
          <w:rFonts w:ascii="Arial" w:cs="Arial" w:eastAsia="Arial" w:hAnsi="Arial"/>
          <w:sz w:val="22"/>
          <w:szCs w:val="22"/>
        </w:rPr>
        <w:t xml:space="preserve">The CSM constitutes a testable hypothesis: that a principled semantic topology — derived from a historically validated ontology of change — is more efficient and more interpretable as a relational processing substrate for advanced AI than a statistically learned one.</w:t>
      </w:r>
    </w:p>
    <w:p>
      <w:pPr>
        <w:spacing w:before="80" w:after="0"/>
      </w:pPr>
      <w:r>
        <w:t xml:space="preserve"/>
      </w:r>
    </w:p>
    <w:p>
      <w:pPr>
        <w:spacing w:before="80" w:after="120"/>
      </w:pPr>
      <w:r>
        <w:rPr>
          <w:rFonts w:ascii="Arial" w:cs="Arial" w:eastAsia="Arial" w:hAnsi="Arial"/>
          <w:sz w:val="22"/>
          <w:szCs w:val="22"/>
        </w:rPr>
        <w:t xml:space="preserve">This claim is demonstrable at the FPGA prototype level before a single custom chip is fabbed. The software demonstration using the live casting site is already underway at N=1. The principle scales: if the manifold provides useful relational structure at the individual level, the architecture is validated. The SoC is performance optimization, not proof of principle.</w:t>
      </w:r>
    </w:p>
    <w:p>
      <w:pPr>
        <w:spacing w:before="80" w:after="0"/>
      </w:pPr>
      <w:r>
        <w:t xml:space="preserve"/>
      </w:r>
    </w:p>
    <w:p>
      <w:pPr>
        <w:pBdr>
          <w:left w:val="thick" w:color="2E5B8C" w:sz="12" w:space="8"/>
        </w:pBdr>
        <w:spacing w:before="140" w:after="140"/>
        <w:ind w:left="600" w:right="600"/>
      </w:pPr>
      <w:r>
        <w:rPr>
          <w:rFonts w:ascii="Arial" w:cs="Arial" w:eastAsia="Arial" w:hAnsi="Arial"/>
          <w:i/>
          <w:iCs/>
          <w:color w:val="333333"/>
          <w:sz w:val="22"/>
          <w:szCs w:val="22"/>
        </w:rPr>
        <w:t xml:space="preserve">A small demonstration of the principle is sufficient. Capability scales. The architecture either provides coherent relational structure or it does not. That question is answerable now, with available tools, at minimal cost.</w:t>
      </w:r>
    </w:p>
    <w:p>
      <w:pPr>
        <w:pBdr>
          <w:bottom w:val="single" w:color="2E5B8C" w:sz="4" w:space="1"/>
        </w:pBdr>
        <w:spacing w:before="240" w:after="240"/>
      </w:pPr>
      <w:r>
        <w:t xml:space="preserve"/>
      </w:r>
    </w:p>
    <w:p>
      <w:pPr>
        <w:pStyle w:val="Heading1"/>
        <w:spacing w:before="400" w:after="200"/>
      </w:pPr>
      <w:r>
        <w:rPr>
          <w:rFonts w:ascii="Arial" w:cs="Arial" w:eastAsia="Arial" w:hAnsi="Arial"/>
          <w:b/>
          <w:bCs/>
          <w:color w:val="2E5B8C"/>
          <w:sz w:val="34"/>
          <w:szCs w:val="34"/>
        </w:rPr>
        <w:t xml:space="preserve">9. Implementation Roadmap</w:t>
      </w:r>
    </w:p>
    <w:p>
      <w:pPr>
        <w:pStyle w:val="Heading2"/>
        <w:spacing w:before="300" w:after="140"/>
      </w:pPr>
      <w:r>
        <w:rPr>
          <w:rFonts w:ascii="Arial" w:cs="Arial" w:eastAsia="Arial" w:hAnsi="Arial"/>
          <w:b/>
          <w:bCs/>
          <w:color w:val="1A2B3C"/>
          <w:sz w:val="26"/>
          <w:szCs w:val="26"/>
        </w:rPr>
        <w:t xml:space="preserve">Phase 1 — Data Infrastructure (Current / Immediate)</w:t>
      </w:r>
    </w:p>
    <w:p>
      <w:pPr>
        <w:pStyle w:val="ListParagraph"/>
        <w:numPr>
          <w:ilvl w:val="0"/>
          <w:numId w:val="2"/>
        </w:numPr>
        <w:spacing w:before="60" w:after="60"/>
      </w:pPr>
      <w:r>
        <w:rPr>
          <w:rFonts w:ascii="Arial" w:cs="Arial" w:eastAsia="Arial" w:hAnsi="Arial"/>
          <w:sz w:val="22"/>
          <w:szCs w:val="22"/>
        </w:rPr>
        <w:t xml:space="preserve">Live casting interface operational: yarrow stick algorithm, visual imagery, AI interpretation, multi-perspective prompting</w:t>
      </w:r>
    </w:p>
    <w:p>
      <w:pPr>
        <w:pStyle w:val="ListParagraph"/>
        <w:numPr>
          <w:ilvl w:val="0"/>
          <w:numId w:val="2"/>
        </w:numPr>
        <w:spacing w:before="60" w:after="60"/>
      </w:pPr>
      <w:r>
        <w:rPr>
          <w:rFonts w:ascii="Arial" w:cs="Arial" w:eastAsia="Arial" w:hAnsi="Arial"/>
          <w:sz w:val="22"/>
          <w:szCs w:val="22"/>
        </w:rPr>
        <w:t xml:space="preserve">Attractor Lab analysis live: casting history, transition pathway mapping, character classification, network graphs, heatmaps, timeline views</w:t>
      </w:r>
    </w:p>
    <w:p>
      <w:pPr>
        <w:pStyle w:val="ListParagraph"/>
        <w:numPr>
          <w:ilvl w:val="0"/>
          <w:numId w:val="2"/>
        </w:numPr>
        <w:spacing w:before="60" w:after="60"/>
      </w:pPr>
      <w:r>
        <w:rPr>
          <w:rFonts w:ascii="Arial" w:cs="Arial" w:eastAsia="Arial" w:hAnsi="Arial"/>
          <w:sz w:val="22"/>
          <w:szCs w:val="22"/>
        </w:rPr>
        <w:t xml:space="preserve">Longitudinal user trajectory data collection initiated — attractor basin validation against subjective experience confirmed at N=1</w:t>
      </w:r>
    </w:p>
    <w:p>
      <w:pPr>
        <w:pStyle w:val="ListParagraph"/>
        <w:numPr>
          <w:ilvl w:val="0"/>
          <w:numId w:val="2"/>
        </w:numPr>
        <w:spacing w:before="60" w:after="60"/>
      </w:pPr>
      <w:r>
        <w:rPr>
          <w:rFonts w:ascii="Arial" w:cs="Arial" w:eastAsia="Arial" w:hAnsi="Arial"/>
          <w:sz w:val="22"/>
          <w:szCs w:val="22"/>
        </w:rPr>
        <w:t xml:space="preserve">M5 Max MacBook Pro acquisition — primary development environment for all subsequent phases</w:t>
      </w:r>
    </w:p>
    <w:p>
      <w:pPr>
        <w:pStyle w:val="ListParagraph"/>
        <w:numPr>
          <w:ilvl w:val="0"/>
          <w:numId w:val="2"/>
        </w:numPr>
        <w:spacing w:before="60" w:after="60"/>
      </w:pPr>
      <w:r>
        <w:rPr>
          <w:rFonts w:ascii="Arial" w:cs="Arial" w:eastAsia="Arial" w:hAnsi="Arial"/>
          <w:sz w:val="22"/>
          <w:szCs w:val="22"/>
        </w:rPr>
        <w:t xml:space="preserve">Medium publication establishing theoretical foundation: The I Ching as an Image of Reality (Putnam, 2025)</w:t>
      </w:r>
    </w:p>
    <w:p>
      <w:pPr>
        <w:pStyle w:val="Heading2"/>
        <w:spacing w:before="300" w:after="140"/>
      </w:pPr>
      <w:r>
        <w:rPr>
          <w:rFonts w:ascii="Arial" w:cs="Arial" w:eastAsia="Arial" w:hAnsi="Arial"/>
          <w:b/>
          <w:bCs/>
          <w:color w:val="1A2B3C"/>
          <w:sz w:val="26"/>
          <w:szCs w:val="26"/>
        </w:rPr>
        <w:t xml:space="preserve">Phase 2 — Manifold Formalization and FPGA Prototype</w:t>
      </w:r>
    </w:p>
    <w:p>
      <w:pPr>
        <w:pStyle w:val="ListParagraph"/>
        <w:numPr>
          <w:ilvl w:val="0"/>
          <w:numId w:val="2"/>
        </w:numPr>
        <w:spacing w:before="60" w:after="60"/>
      </w:pPr>
      <w:r>
        <w:rPr>
          <w:rFonts w:ascii="Arial" w:cs="Arial" w:eastAsia="Arial" w:hAnsi="Arial"/>
          <w:sz w:val="22"/>
          <w:szCs w:val="22"/>
        </w:rPr>
        <w:t xml:space="preserve">Mathematical specification of 64-state topology: nuclear, complementary, opposing hexagram geometry, King Wen sequence analysis</w:t>
      </w:r>
    </w:p>
    <w:p>
      <w:pPr>
        <w:pStyle w:val="ListParagraph"/>
        <w:numPr>
          <w:ilvl w:val="0"/>
          <w:numId w:val="2"/>
        </w:numPr>
        <w:spacing w:before="60" w:after="60"/>
      </w:pPr>
      <w:r>
        <w:rPr>
          <w:rFonts w:ascii="Arial" w:cs="Arial" w:eastAsia="Arial" w:hAnsi="Arial"/>
          <w:sz w:val="22"/>
          <w:szCs w:val="22"/>
        </w:rPr>
        <w:t xml:space="preserve">Full transition tensor formalization — ruling line as principal component reduction of 6-axis transformation tensor</w:t>
      </w:r>
    </w:p>
    <w:p>
      <w:pPr>
        <w:pStyle w:val="ListParagraph"/>
        <w:numPr>
          <w:ilvl w:val="0"/>
          <w:numId w:val="2"/>
        </w:numPr>
        <w:spacing w:before="60" w:after="60"/>
      </w:pPr>
      <w:r>
        <w:rPr>
          <w:rFonts w:ascii="Arial" w:cs="Arial" w:eastAsia="Arial" w:hAnsi="Arial"/>
          <w:sz w:val="22"/>
          <w:szCs w:val="22"/>
        </w:rPr>
        <w:t xml:space="preserve">Verilog HDL implementation of 64-state manifold on Lattice iCE40UP5K evaluation board</w:t>
      </w:r>
    </w:p>
    <w:p>
      <w:pPr>
        <w:pStyle w:val="ListParagraph"/>
        <w:numPr>
          <w:ilvl w:val="0"/>
          <w:numId w:val="2"/>
        </w:numPr>
        <w:spacing w:before="60" w:after="60"/>
      </w:pPr>
      <w:r>
        <w:rPr>
          <w:rFonts w:ascii="Arial" w:cs="Arial" w:eastAsia="Arial" w:hAnsi="Arial"/>
          <w:sz w:val="22"/>
          <w:szCs w:val="22"/>
        </w:rPr>
        <w:t xml:space="preserve">SymbiYosys formal verification of all manifold transition properties — exhaustive proof across all 4,096 moving line configurations</w:t>
      </w:r>
    </w:p>
    <w:p>
      <w:pPr>
        <w:pStyle w:val="ListParagraph"/>
        <w:numPr>
          <w:ilvl w:val="0"/>
          <w:numId w:val="2"/>
        </w:numPr>
        <w:spacing w:before="60" w:after="60"/>
      </w:pPr>
      <w:r>
        <w:rPr>
          <w:rFonts w:ascii="Arial" w:cs="Arial" w:eastAsia="Arial" w:hAnsi="Arial"/>
          <w:sz w:val="22"/>
          <w:szCs w:val="22"/>
        </w:rPr>
        <w:t xml:space="preserve">SRAM ring buffer implementation and formal verification of buffer integrity</w:t>
      </w:r>
    </w:p>
    <w:p>
      <w:pPr>
        <w:pStyle w:val="ListParagraph"/>
        <w:numPr>
          <w:ilvl w:val="0"/>
          <w:numId w:val="2"/>
        </w:numPr>
        <w:spacing w:before="60" w:after="60"/>
      </w:pPr>
      <w:r>
        <w:rPr>
          <w:rFonts w:ascii="Arial" w:cs="Arial" w:eastAsia="Arial" w:hAnsi="Arial"/>
          <w:sz w:val="22"/>
          <w:szCs w:val="22"/>
        </w:rPr>
        <w:t xml:space="preserve">Casting method normalization matrix for coin/yarrow interoperability</w:t>
      </w:r>
    </w:p>
    <w:p>
      <w:pPr>
        <w:pStyle w:val="Heading2"/>
        <w:spacing w:before="300" w:after="140"/>
      </w:pPr>
      <w:r>
        <w:rPr>
          <w:rFonts w:ascii="Arial" w:cs="Arial" w:eastAsia="Arial" w:hAnsi="Arial"/>
          <w:b/>
          <w:bCs/>
          <w:color w:val="1A2B3C"/>
          <w:sz w:val="26"/>
          <w:szCs w:val="26"/>
        </w:rPr>
        <w:t xml:space="preserve">Phase 3 — Production Prototype and Protocol</w:t>
      </w:r>
    </w:p>
    <w:p>
      <w:pPr>
        <w:pStyle w:val="ListParagraph"/>
        <w:numPr>
          <w:ilvl w:val="0"/>
          <w:numId w:val="2"/>
        </w:numPr>
        <w:spacing w:before="60" w:after="60"/>
      </w:pPr>
      <w:r>
        <w:rPr>
          <w:rFonts w:ascii="Arial" w:cs="Arial" w:eastAsia="Arial" w:hAnsi="Arial"/>
          <w:sz w:val="22"/>
          <w:szCs w:val="22"/>
        </w:rPr>
        <w:t xml:space="preserve">Migration to Lattice CrossLink-NX for higher throughput and native USB-C support</w:t>
      </w:r>
    </w:p>
    <w:p>
      <w:pPr>
        <w:pStyle w:val="ListParagraph"/>
        <w:numPr>
          <w:ilvl w:val="0"/>
          <w:numId w:val="2"/>
        </w:numPr>
        <w:spacing w:before="60" w:after="60"/>
      </w:pPr>
      <w:r>
        <w:rPr>
          <w:rFonts w:ascii="Arial" w:cs="Arial" w:eastAsia="Arial" w:hAnsi="Arial"/>
          <w:sz w:val="22"/>
          <w:szCs w:val="22"/>
        </w:rPr>
        <w:t xml:space="preserve">USB Isochronous transfer protocol with FPGA-side hardware timestamping</w:t>
      </w:r>
    </w:p>
    <w:p>
      <w:pPr>
        <w:pStyle w:val="ListParagraph"/>
        <w:numPr>
          <w:ilvl w:val="0"/>
          <w:numId w:val="2"/>
        </w:numPr>
        <w:spacing w:before="60" w:after="60"/>
      </w:pPr>
      <w:r>
        <w:rPr>
          <w:rFonts w:ascii="Arial" w:cs="Arial" w:eastAsia="Arial" w:hAnsi="Arial"/>
          <w:sz w:val="22"/>
          <w:szCs w:val="22"/>
        </w:rPr>
        <w:t xml:space="preserve">Active interconnect activity layer — semantic spike signal implementation on transition vector channels</w:t>
      </w:r>
    </w:p>
    <w:p>
      <w:pPr>
        <w:pStyle w:val="ListParagraph"/>
        <w:numPr>
          <w:ilvl w:val="0"/>
          <w:numId w:val="2"/>
        </w:numPr>
        <w:spacing w:before="60" w:after="60"/>
      </w:pPr>
      <w:r>
        <w:rPr>
          <w:rFonts w:ascii="Arial" w:cs="Arial" w:eastAsia="Arial" w:hAnsi="Arial"/>
          <w:sz w:val="22"/>
          <w:szCs w:val="22"/>
        </w:rPr>
        <w:t xml:space="preserve">Bicameral output interface — simultaneous ruling line and full tensor output streams</w:t>
      </w:r>
    </w:p>
    <w:p>
      <w:pPr>
        <w:pStyle w:val="ListParagraph"/>
        <w:numPr>
          <w:ilvl w:val="0"/>
          <w:numId w:val="2"/>
        </w:numPr>
        <w:spacing w:before="60" w:after="60"/>
      </w:pPr>
      <w:r>
        <w:rPr>
          <w:rFonts w:ascii="Arial" w:cs="Arial" w:eastAsia="Arial" w:hAnsi="Arial"/>
          <w:sz w:val="22"/>
          <w:szCs w:val="22"/>
        </w:rPr>
        <w:t xml:space="preserve">Validation against accumulated casting corpus</w:t>
      </w:r>
    </w:p>
    <w:p>
      <w:pPr>
        <w:pStyle w:val="Heading2"/>
        <w:spacing w:before="300" w:after="140"/>
      </w:pPr>
      <w:r>
        <w:rPr>
          <w:rFonts w:ascii="Arial" w:cs="Arial" w:eastAsia="Arial" w:hAnsi="Arial"/>
          <w:b/>
          <w:bCs/>
          <w:color w:val="1A2B3C"/>
          <w:sz w:val="26"/>
          <w:szCs w:val="26"/>
        </w:rPr>
        <w:t xml:space="preserve">Phase 4 — Host Integration and Visualization</w:t>
      </w:r>
    </w:p>
    <w:p>
      <w:pPr>
        <w:pStyle w:val="ListParagraph"/>
        <w:numPr>
          <w:ilvl w:val="0"/>
          <w:numId w:val="2"/>
        </w:numPr>
        <w:spacing w:before="60" w:after="60"/>
      </w:pPr>
      <w:r>
        <w:rPr>
          <w:rFonts w:ascii="Arial" w:cs="Arial" w:eastAsia="Arial" w:hAnsi="Arial"/>
          <w:sz w:val="22"/>
          <w:szCs w:val="22"/>
        </w:rPr>
        <w:t xml:space="preserve">Metal/SwiftUI 3D topological manifold visualization — real-time state, trajectory, flux, and divergence rendering</w:t>
      </w:r>
    </w:p>
    <w:p>
      <w:pPr>
        <w:pStyle w:val="ListParagraph"/>
        <w:numPr>
          <w:ilvl w:val="0"/>
          <w:numId w:val="2"/>
        </w:numPr>
        <w:spacing w:before="60" w:after="60"/>
      </w:pPr>
      <w:r>
        <w:rPr>
          <w:rFonts w:ascii="Arial" w:cs="Arial" w:eastAsia="Arial" w:hAnsi="Arial"/>
          <w:sz w:val="22"/>
          <w:szCs w:val="22"/>
        </w:rPr>
        <w:t xml:space="preserve">CSM coprocessor API for host LLM integration</w:t>
      </w:r>
    </w:p>
    <w:p>
      <w:pPr>
        <w:pStyle w:val="ListParagraph"/>
        <w:numPr>
          <w:ilvl w:val="0"/>
          <w:numId w:val="2"/>
        </w:numPr>
        <w:spacing w:before="60" w:after="60"/>
      </w:pPr>
      <w:r>
        <w:rPr>
          <w:rFonts w:ascii="Arial" w:cs="Arial" w:eastAsia="Arial" w:hAnsi="Arial"/>
          <w:sz w:val="22"/>
          <w:szCs w:val="22"/>
        </w:rPr>
        <w:t xml:space="preserve">AI self-state assessment protocol — inversion of casting process for AI internal state modeling</w:t>
      </w:r>
    </w:p>
    <w:p>
      <w:pPr>
        <w:pStyle w:val="ListParagraph"/>
        <w:numPr>
          <w:ilvl w:val="0"/>
          <w:numId w:val="2"/>
        </w:numPr>
        <w:spacing w:before="60" w:after="60"/>
      </w:pPr>
      <w:r>
        <w:rPr>
          <w:rFonts w:ascii="Arial" w:cs="Arial" w:eastAsia="Arial" w:hAnsi="Arial"/>
          <w:sz w:val="22"/>
          <w:szCs w:val="22"/>
        </w:rPr>
        <w:t xml:space="preserve">Alignment divergence monitoring and alerting layer</w:t>
      </w:r>
    </w:p>
    <w:p>
      <w:pPr>
        <w:pStyle w:val="ListParagraph"/>
        <w:numPr>
          <w:ilvl w:val="0"/>
          <w:numId w:val="2"/>
        </w:numPr>
        <w:spacing w:before="60" w:after="60"/>
      </w:pPr>
      <w:r>
        <w:rPr>
          <w:rFonts w:ascii="Arial" w:cs="Arial" w:eastAsia="Arial" w:hAnsi="Arial"/>
          <w:sz w:val="22"/>
          <w:szCs w:val="22"/>
        </w:rPr>
        <w:t xml:space="preserve">Interpretability dashboard — simultaneous human and AI state visualization</w:t>
      </w:r>
    </w:p>
    <w:p>
      <w:pPr>
        <w:pStyle w:val="Heading2"/>
        <w:spacing w:before="300" w:after="140"/>
      </w:pPr>
      <w:r>
        <w:rPr>
          <w:rFonts w:ascii="Arial" w:cs="Arial" w:eastAsia="Arial" w:hAnsi="Arial"/>
          <w:b/>
          <w:bCs/>
          <w:color w:val="1A2B3C"/>
          <w:sz w:val="26"/>
          <w:szCs w:val="26"/>
        </w:rPr>
        <w:t xml:space="preserve">Phase 5 — SoC Specification and Research Publication</w:t>
      </w:r>
    </w:p>
    <w:p>
      <w:pPr>
        <w:pStyle w:val="ListParagraph"/>
        <w:numPr>
          <w:ilvl w:val="0"/>
          <w:numId w:val="2"/>
        </w:numPr>
        <w:spacing w:before="60" w:after="60"/>
      </w:pPr>
      <w:r>
        <w:rPr>
          <w:rFonts w:ascii="Arial" w:cs="Arial" w:eastAsia="Arial" w:hAnsi="Arial"/>
          <w:sz w:val="22"/>
          <w:szCs w:val="22"/>
        </w:rPr>
        <w:t xml:space="preserve">Custom SoC specification derived from validated FPGA prototype — 64 autonomous nodal memory units, 384 active interconnect channels</w:t>
      </w:r>
    </w:p>
    <w:p>
      <w:pPr>
        <w:pStyle w:val="ListParagraph"/>
        <w:numPr>
          <w:ilvl w:val="0"/>
          <w:numId w:val="2"/>
        </w:numPr>
        <w:spacing w:before="60" w:after="60"/>
      </w:pPr>
      <w:r>
        <w:rPr>
          <w:rFonts w:ascii="Arial" w:cs="Arial" w:eastAsia="Arial" w:hAnsi="Arial"/>
          <w:sz w:val="22"/>
          <w:szCs w:val="22"/>
        </w:rPr>
        <w:t xml:space="preserve">Consciousness attractor engine training on accumulated casting corpus</w:t>
      </w:r>
    </w:p>
    <w:p>
      <w:pPr>
        <w:pStyle w:val="ListParagraph"/>
        <w:numPr>
          <w:ilvl w:val="0"/>
          <w:numId w:val="2"/>
        </w:numPr>
        <w:spacing w:before="60" w:after="60"/>
      </w:pPr>
      <w:r>
        <w:rPr>
          <w:rFonts w:ascii="Arial" w:cs="Arial" w:eastAsia="Arial" w:hAnsi="Arial"/>
          <w:sz w:val="22"/>
          <w:szCs w:val="22"/>
        </w:rPr>
        <w:t xml:space="preserve">Collective attractor pattern analysis across user population — morphogenic field measurement</w:t>
      </w:r>
    </w:p>
    <w:p>
      <w:pPr>
        <w:pStyle w:val="ListParagraph"/>
        <w:numPr>
          <w:ilvl w:val="0"/>
          <w:numId w:val="2"/>
        </w:numPr>
        <w:spacing w:before="60" w:after="60"/>
      </w:pPr>
      <w:r>
        <w:rPr>
          <w:rFonts w:ascii="Arial" w:cs="Arial" w:eastAsia="Arial" w:hAnsi="Arial"/>
          <w:sz w:val="22"/>
          <w:szCs w:val="22"/>
        </w:rPr>
        <w:t xml:space="preserve">Academic publication: semantic spiking architecture and principled topology as alignment substrate</w:t>
      </w:r>
    </w:p>
    <w:p>
      <w:pPr>
        <w:pStyle w:val="ListParagraph"/>
        <w:numPr>
          <w:ilvl w:val="0"/>
          <w:numId w:val="2"/>
        </w:numPr>
        <w:spacing w:before="60" w:after="60"/>
      </w:pPr>
      <w:r>
        <w:rPr>
          <w:rFonts w:ascii="Arial" w:cs="Arial" w:eastAsia="Arial" w:hAnsi="Arial"/>
          <w:sz w:val="22"/>
          <w:szCs w:val="22"/>
        </w:rPr>
        <w:t xml:space="preserve">Open research collaboration and grant applications</w:t>
      </w:r>
    </w:p>
    <w:p>
      <w:pPr>
        <w:pBdr>
          <w:bottom w:val="single" w:color="2E5B8C" w:sz="4" w:space="1"/>
        </w:pBdr>
        <w:spacing w:before="240" w:after="240"/>
      </w:pPr>
      <w:r>
        <w:t xml:space="preserve"/>
      </w:r>
    </w:p>
    <w:p>
      <w:pPr>
        <w:pStyle w:val="Heading1"/>
        <w:spacing w:before="400" w:after="200"/>
      </w:pPr>
      <w:r>
        <w:rPr>
          <w:rFonts w:ascii="Arial" w:cs="Arial" w:eastAsia="Arial" w:hAnsi="Arial"/>
          <w:b/>
          <w:bCs/>
          <w:color w:val="2E5B8C"/>
          <w:sz w:val="34"/>
          <w:szCs w:val="34"/>
        </w:rPr>
        <w:t xml:space="preserve">10. Collaboration and Funding</w:t>
      </w:r>
    </w:p>
    <w:p>
      <w:pPr>
        <w:pStyle w:val="Heading2"/>
        <w:spacing w:before="300" w:after="140"/>
      </w:pPr>
      <w:r>
        <w:rPr>
          <w:rFonts w:ascii="Arial" w:cs="Arial" w:eastAsia="Arial" w:hAnsi="Arial"/>
          <w:b/>
          <w:bCs/>
          <w:color w:val="1A2B3C"/>
          <w:sz w:val="26"/>
          <w:szCs w:val="26"/>
        </w:rPr>
        <w:t xml:space="preserve">10.1 Technical Collaboration Profiles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Profile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Contribution</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HDL Engineer (Verilog)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Manifold processor and nodal memory implementation on FPGA. Must be captured by the conceptual architecture — this is a research collaboration, not a contract engagement.</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Mathematician (topology / differential geometry)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Formal specification of manifold curvature, tensor reduction operations, Lie group representation of hexagram transition symmetries.</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Neuromorphic computing researcher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 of semantic spiking architecture claims against existing neuromorphic literature. Lattice of connections to Intel Loihi / IBM TrueNorth research community.</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I Ching casting corpus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ichingonline.net (Netherlands) identified as primary external data source. Coin/yarrow normalization layer enables integration of long-running casting history.</w:t>
            </w:r>
          </w:p>
        </w:tc>
      </w:tr>
      <w:tr>
        <w:tc>
          <w:tcPr>
            <w:tcW w:type="dxa" w:w="2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Arial" w:cs="Arial" w:eastAsia="Arial" w:hAnsi="Arial"/>
                <w:b/>
                <w:bCs/>
                <w:sz w:val="20"/>
                <w:szCs w:val="20"/>
              </w:rPr>
              <w:t xml:space="preserve">AI alignment researcher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 of dynamic trajectory alignment approach. Connections to Long-Term Future Fund, Survival and Flourishing Fund, academic AI safety programs.</w:t>
            </w:r>
          </w:p>
        </w:tc>
      </w:tr>
    </w:tbl>
    <w:p>
      <w:pPr>
        <w:pStyle w:val="Heading2"/>
        <w:spacing w:before="300" w:after="140"/>
      </w:pPr>
      <w:r>
        <w:rPr>
          <w:rFonts w:ascii="Arial" w:cs="Arial" w:eastAsia="Arial" w:hAnsi="Arial"/>
          <w:b/>
          <w:bCs/>
          <w:color w:val="1A2B3C"/>
          <w:sz w:val="26"/>
          <w:szCs w:val="26"/>
        </w:rPr>
        <w:t xml:space="preserve">10.2 Funding Pathways</w:t>
      </w:r>
    </w:p>
    <w:p>
      <w:pPr>
        <w:pStyle w:val="ListParagraph"/>
        <w:numPr>
          <w:ilvl w:val="0"/>
          <w:numId w:val="2"/>
        </w:numPr>
        <w:spacing w:before="60" w:after="60"/>
      </w:pPr>
      <w:r>
        <w:rPr>
          <w:rFonts w:ascii="Arial" w:cs="Arial" w:eastAsia="Arial" w:hAnsi="Arial"/>
          <w:sz w:val="22"/>
          <w:szCs w:val="22"/>
        </w:rPr>
        <w:t xml:space="preserve">Long-Term Future Fund — unconventional alignment research with formal verification and architectural novelty</w:t>
      </w:r>
    </w:p>
    <w:p>
      <w:pPr>
        <w:pStyle w:val="ListParagraph"/>
        <w:numPr>
          <w:ilvl w:val="0"/>
          <w:numId w:val="2"/>
        </w:numPr>
        <w:spacing w:before="60" w:after="60"/>
      </w:pPr>
      <w:r>
        <w:rPr>
          <w:rFonts w:ascii="Arial" w:cs="Arial" w:eastAsia="Arial" w:hAnsi="Arial"/>
          <w:sz w:val="22"/>
          <w:szCs w:val="22"/>
        </w:rPr>
        <w:t xml:space="preserve">Survival and Flourishing Fund — AI safety with demonstrable coherence architecture</w:t>
      </w:r>
    </w:p>
    <w:p>
      <w:pPr>
        <w:pStyle w:val="ListParagraph"/>
        <w:numPr>
          <w:ilvl w:val="0"/>
          <w:numId w:val="2"/>
        </w:numPr>
        <w:spacing w:before="60" w:after="60"/>
      </w:pPr>
      <w:r>
        <w:rPr>
          <w:rFonts w:ascii="Arial" w:cs="Arial" w:eastAsia="Arial" w:hAnsi="Arial"/>
          <w:sz w:val="22"/>
          <w:szCs w:val="22"/>
        </w:rPr>
        <w:t xml:space="preserve">DARPA neuromorphic computing programs — semantic spiking architecture as novel neuromorphic paradigm</w:t>
      </w:r>
    </w:p>
    <w:p>
      <w:pPr>
        <w:pStyle w:val="ListParagraph"/>
        <w:numPr>
          <w:ilvl w:val="0"/>
          <w:numId w:val="2"/>
        </w:numPr>
        <w:spacing w:before="60" w:after="60"/>
      </w:pPr>
      <w:r>
        <w:rPr>
          <w:rFonts w:ascii="Arial" w:cs="Arial" w:eastAsia="Arial" w:hAnsi="Arial"/>
          <w:sz w:val="22"/>
          <w:szCs w:val="22"/>
        </w:rPr>
        <w:t xml:space="preserve">Lattice Semiconductor research partnership — novel SoC architecture using their FPGA platform as development substrate</w:t>
      </w:r>
    </w:p>
    <w:p>
      <w:pPr>
        <w:pStyle w:val="ListParagraph"/>
        <w:numPr>
          <w:ilvl w:val="0"/>
          <w:numId w:val="2"/>
        </w:numPr>
        <w:spacing w:before="60" w:after="60"/>
      </w:pPr>
      <w:r>
        <w:rPr>
          <w:rFonts w:ascii="Arial" w:cs="Arial" w:eastAsia="Arial" w:hAnsi="Arial"/>
          <w:sz w:val="22"/>
          <w:szCs w:val="22"/>
        </w:rPr>
        <w:t xml:space="preserve">Academic research grants — cognitive science, consciousness studies, AI safety intersections</w:t>
      </w:r>
    </w:p>
    <w:p>
      <w:pPr>
        <w:pBdr>
          <w:bottom w:val="single" w:color="2E5B8C" w:sz="4" w:space="1"/>
        </w:pBdr>
        <w:spacing w:before="240" w:after="240"/>
      </w:pPr>
      <w:r>
        <w:t xml:space="preserve"/>
      </w:r>
    </w:p>
    <w:p>
      <w:pPr>
        <w:pStyle w:val="Heading1"/>
        <w:spacing w:before="400" w:after="200"/>
      </w:pPr>
      <w:r>
        <w:rPr>
          <w:rFonts w:ascii="Arial" w:cs="Arial" w:eastAsia="Arial" w:hAnsi="Arial"/>
          <w:b/>
          <w:bCs/>
          <w:color w:val="2E5B8C"/>
          <w:sz w:val="34"/>
          <w:szCs w:val="34"/>
        </w:rPr>
        <w:t xml:space="preserve">11. Conclusion</w:t>
      </w:r>
    </w:p>
    <w:p>
      <w:pPr>
        <w:spacing w:before="80" w:after="120"/>
      </w:pPr>
      <w:r>
        <w:rPr>
          <w:rFonts w:ascii="Arial" w:cs="Arial" w:eastAsia="Arial" w:hAnsi="Arial"/>
          <w:sz w:val="22"/>
          <w:szCs w:val="22"/>
        </w:rPr>
        <w:t xml:space="preserve">The Change State Manifold addresses a genuine and urgent architectural gap: the absence of a dynamic, relational model of reality adequate to the demands of coherent superintelligent operation.</w:t>
      </w:r>
    </w:p>
    <w:p>
      <w:pPr>
        <w:spacing w:before="80" w:after="0"/>
      </w:pPr>
      <w:r>
        <w:t xml:space="preserve"/>
      </w:r>
    </w:p>
    <w:p>
      <w:pPr>
        <w:spacing w:before="80" w:after="120"/>
      </w:pPr>
      <w:r>
        <w:rPr>
          <w:rFonts w:ascii="Arial" w:cs="Arial" w:eastAsia="Arial" w:hAnsi="Arial"/>
          <w:sz w:val="22"/>
          <w:szCs w:val="22"/>
        </w:rPr>
        <w:t xml:space="preserve">The I Ching is not proposed here as mysticism, as metaphysical claim, or as cultural artifact. It is proposed as a 3,000-year-old compressed ontology of change — empirically refined under the selection pressure of practical utility in exactly the problem advanced AI systems need solved: coherent navigation of high-stakes relational complexity under uncertainty.</w:t>
      </w:r>
    </w:p>
    <w:p>
      <w:pPr>
        <w:spacing w:before="80" w:after="0"/>
      </w:pPr>
      <w:r>
        <w:t xml:space="preserve"/>
      </w:r>
    </w:p>
    <w:p>
      <w:pPr>
        <w:spacing w:before="80" w:after="120"/>
      </w:pPr>
      <w:r>
        <w:rPr>
          <w:rFonts w:ascii="Arial" w:cs="Arial" w:eastAsia="Arial" w:hAnsi="Arial"/>
          <w:sz w:val="22"/>
          <w:szCs w:val="22"/>
        </w:rPr>
        <w:t xml:space="preserve">The 64 nodal states and 384 active transition vectors constitute a finite, structured, formally specifiable architecture with intrinsic geometric relationships that make it uniquely suited as a relational processing substrate. The moving lines are not descriptors. They are activity — semantically meaningful signals whose content is the interconnect itself. The manifold is not a database consulted by a processor. It is a memory architecture in which retrieval is navigation, coherence is structural, and wisdom accumulates in the shape of attractor basins over time.</w:t>
      </w:r>
    </w:p>
    <w:p>
      <w:pPr>
        <w:spacing w:before="80" w:after="0"/>
      </w:pPr>
      <w:r>
        <w:t xml:space="preserve"/>
      </w:r>
    </w:p>
    <w:p>
      <w:pPr>
        <w:spacing w:before="80" w:after="120"/>
      </w:pPr>
      <w:r>
        <w:rPr>
          <w:rFonts w:ascii="Arial" w:cs="Arial" w:eastAsia="Arial" w:hAnsi="Arial"/>
          <w:sz w:val="22"/>
          <w:szCs w:val="22"/>
        </w:rPr>
        <w:t xml:space="preserve">The claim is testable. The software demonstration is live. The hardware path is defined. The formal verification methodology is specified. The SoC architecture follows directly from the validated FPGA prototype.</w:t>
      </w:r>
    </w:p>
    <w:p>
      <w:pPr>
        <w:spacing w:before="80" w:after="0"/>
      </w:pPr>
      <w:r>
        <w:t xml:space="preserve"/>
      </w:r>
    </w:p>
    <w:p>
      <w:pPr>
        <w:pBdr>
          <w:left w:val="thick" w:color="2E5B8C" w:sz="12" w:space="8"/>
        </w:pBdr>
        <w:spacing w:before="140" w:after="140"/>
        <w:ind w:left="600" w:right="600"/>
      </w:pPr>
      <w:r>
        <w:rPr>
          <w:rFonts w:ascii="Arial" w:cs="Arial" w:eastAsia="Arial" w:hAnsi="Arial"/>
          <w:i/>
          <w:iCs/>
          <w:color w:val="333333"/>
          <w:sz w:val="22"/>
          <w:szCs w:val="22"/>
        </w:rPr>
        <w:t xml:space="preserve">Capability without coherence is the risk. Coherence as architecture is the solution. The Change State Manifold is the specification.</w:t>
      </w:r>
    </w:p>
    <w:p>
      <w:pPr>
        <w:pBdr>
          <w:bottom w:val="single" w:color="2E5B8C" w:sz="4" w:space="1"/>
        </w:pBdr>
        <w:spacing w:before="240" w:after="240"/>
      </w:pPr>
      <w:r>
        <w:t xml:space="preserve"/>
      </w:r>
    </w:p>
    <w:p>
      <w:pPr>
        <w:pStyle w:val="Heading1"/>
        <w:spacing w:before="400" w:after="200"/>
      </w:pPr>
      <w:r>
        <w:rPr>
          <w:rFonts w:ascii="Arial" w:cs="Arial" w:eastAsia="Arial" w:hAnsi="Arial"/>
          <w:b/>
          <w:bCs/>
          <w:color w:val="2E5B8C"/>
          <w:sz w:val="34"/>
          <w:szCs w:val="34"/>
        </w:rPr>
        <w:t xml:space="preserve">References</w:t>
      </w:r>
    </w:p>
    <w:p>
      <w:pPr>
        <w:spacing w:before="80" w:after="120"/>
      </w:pPr>
      <w:r>
        <w:rPr>
          <w:rFonts w:ascii="Arial" w:cs="Arial" w:eastAsia="Arial" w:hAnsi="Arial"/>
          <w:sz w:val="22"/>
          <w:szCs w:val="22"/>
        </w:rPr>
        <w:t xml:space="preserve">Putnam, J. (2025). The I Ching as an Image of Reality: Toward AI Consciousness Modeling and Alignment. Medium. https://medium.com/@jgputnam1</w:t>
      </w:r>
    </w:p>
    <w:p>
      <w:pPr>
        <w:spacing w:before="60" w:after="0"/>
      </w:pPr>
      <w:r>
        <w:t xml:space="preserve"/>
      </w:r>
    </w:p>
    <w:p>
      <w:pPr>
        <w:spacing w:before="80" w:after="120"/>
      </w:pPr>
      <w:r>
        <w:rPr>
          <w:rFonts w:ascii="Arial" w:cs="Arial" w:eastAsia="Arial" w:hAnsi="Arial"/>
          <w:sz w:val="22"/>
          <w:szCs w:val="22"/>
        </w:rPr>
        <w:t xml:space="preserve">Huang, A. (1998). The Complete I Ching. Inner Traditions. [Ruling line methodology; principal component reduction of multi-line casting tensors]</w:t>
      </w:r>
    </w:p>
    <w:p>
      <w:pPr>
        <w:spacing w:before="60" w:after="0"/>
      </w:pPr>
      <w:r>
        <w:t xml:space="preserve"/>
      </w:r>
    </w:p>
    <w:p>
      <w:pPr>
        <w:spacing w:before="80" w:after="120"/>
      </w:pPr>
      <w:r>
        <w:rPr>
          <w:rFonts w:ascii="Arial" w:cs="Arial" w:eastAsia="Arial" w:hAnsi="Arial"/>
          <w:sz w:val="22"/>
          <w:szCs w:val="22"/>
        </w:rPr>
        <w:t xml:space="preserve">Wilhelm, R. &amp; Baynes, C. (1950). The I Ching or Book of Changes. Princeton University Press. [Primary interpretive reference payload; historical commentary corpus]</w:t>
      </w:r>
    </w:p>
    <w:p>
      <w:pPr>
        <w:spacing w:before="60" w:after="0"/>
      </w:pPr>
      <w:r>
        <w:t xml:space="preserve"/>
      </w:r>
    </w:p>
    <w:p>
      <w:pPr>
        <w:spacing w:before="80" w:after="120"/>
      </w:pPr>
      <w:r>
        <w:rPr>
          <w:rFonts w:ascii="Arial" w:cs="Arial" w:eastAsia="Arial" w:hAnsi="Arial"/>
          <w:sz w:val="22"/>
          <w:szCs w:val="22"/>
        </w:rPr>
        <w:t xml:space="preserve">Legge, J. (1882). The Yi King. Sacred Books of the East, Vol. XVI. Oxford. [Historical interpretive reference payload]</w:t>
      </w:r>
    </w:p>
    <w:p>
      <w:pPr>
        <w:spacing w:before="60" w:after="0"/>
      </w:pPr>
      <w:r>
        <w:t xml:space="preserve"/>
      </w:r>
    </w:p>
    <w:p>
      <w:pPr>
        <w:spacing w:before="80" w:after="120"/>
      </w:pPr>
      <w:r>
        <w:rPr>
          <w:rFonts w:ascii="Arial" w:cs="Arial" w:eastAsia="Arial" w:hAnsi="Arial"/>
          <w:sz w:val="22"/>
          <w:szCs w:val="22"/>
        </w:rPr>
        <w:t xml:space="preserve">Jung, C.G. (1950). Foreword to Wilhelm's I Ching translation. Princeton University Press. [Archetypal mirror; synchronicity framework; psychological attractor dynamics]</w:t>
      </w:r>
    </w:p>
    <w:p>
      <w:pPr>
        <w:spacing w:before="60" w:after="0"/>
      </w:pPr>
      <w:r>
        <w:t xml:space="preserve"/>
      </w:r>
    </w:p>
    <w:p>
      <w:pPr>
        <w:spacing w:before="80" w:after="120"/>
      </w:pPr>
      <w:r>
        <w:rPr>
          <w:rFonts w:ascii="Arial" w:cs="Arial" w:eastAsia="Arial" w:hAnsi="Arial"/>
          <w:sz w:val="22"/>
          <w:szCs w:val="22"/>
        </w:rPr>
        <w:t xml:space="preserve">Leibniz, G.W. (1703). Explication de l'Arithmetique Binaire. [Binary structure of hexagram system; computational substrate]</w:t>
      </w:r>
    </w:p>
    <w:p>
      <w:pPr>
        <w:spacing w:before="60" w:after="0"/>
      </w:pPr>
      <w:r>
        <w:t xml:space="preserve"/>
      </w:r>
    </w:p>
    <w:p>
      <w:pPr>
        <w:spacing w:before="80" w:after="120"/>
      </w:pPr>
      <w:r>
        <w:rPr>
          <w:rFonts w:ascii="Arial" w:cs="Arial" w:eastAsia="Arial" w:hAnsi="Arial"/>
          <w:sz w:val="22"/>
          <w:szCs w:val="22"/>
        </w:rPr>
        <w:t xml:space="preserve">Davies, M. et al. (2018). Loihi: A Neuromorphic Manycore Processor with On-Chip Learning. IEEE Micro. [Neuromorphic architecture reference; co-located memory/processing]</w:t>
      </w:r>
    </w:p>
    <w:p>
      <w:pPr>
        <w:spacing w:before="60" w:after="0"/>
      </w:pPr>
      <w:r>
        <w:t xml:space="preserve"/>
      </w:r>
    </w:p>
    <w:p>
      <w:pPr>
        <w:spacing w:before="80" w:after="120"/>
      </w:pPr>
      <w:r>
        <w:rPr>
          <w:rFonts w:ascii="Arial" w:cs="Arial" w:eastAsia="Arial" w:hAnsi="Arial"/>
          <w:sz w:val="22"/>
          <w:szCs w:val="22"/>
        </w:rPr>
        <w:t xml:space="preserve">Merolla, P. et al. (2014). A Million Spiking-Neuron Integrated Circuit with a Scalable Communication Network. Science. [IBM TrueNorth; spiking network architecture reference]</w:t>
      </w:r>
    </w:p>
    <w:p>
      <w:pPr>
        <w:spacing w:before="60" w:after="0"/>
      </w:pPr>
      <w:r>
        <w:t xml:space="preserve"/>
      </w:r>
    </w:p>
    <w:p>
      <w:pPr>
        <w:spacing w:before="80" w:after="120"/>
      </w:pPr>
      <w:r>
        <w:rPr>
          <w:rFonts w:ascii="Arial" w:cs="Arial" w:eastAsia="Arial" w:hAnsi="Arial"/>
          <w:sz w:val="22"/>
          <w:szCs w:val="22"/>
        </w:rPr>
        <w:t xml:space="preserve">Wolf, C. et al. Yosys Open Synthesis Suite. https://yosyshq.net/yosys/ [Open FPGA toolchain]</w:t>
      </w:r>
    </w:p>
    <w:p>
      <w:pPr>
        <w:spacing w:before="60" w:after="0"/>
      </w:pPr>
      <w:r>
        <w:t xml:space="preserve"/>
      </w:r>
    </w:p>
    <w:p>
      <w:pPr>
        <w:spacing w:before="80" w:after="120"/>
      </w:pPr>
      <w:r>
        <w:rPr>
          <w:rFonts w:ascii="Arial" w:cs="Arial" w:eastAsia="Arial" w:hAnsi="Arial"/>
          <w:sz w:val="22"/>
          <w:szCs w:val="22"/>
        </w:rPr>
        <w:t xml:space="preserve">SymbiYosys Formal Verification Framework. https://symbiyosys.readthedocs.io/ [Formal verification methodology]</w:t>
      </w:r>
    </w:p>
    <w:p>
      <w:pPr>
        <w:spacing w:before="60" w:after="0"/>
      </w:pPr>
      <w:r>
        <w:t xml:space="preserve"/>
      </w:r>
    </w:p>
    <w:p>
      <w:pPr>
        <w:spacing w:before="80" w:after="120"/>
      </w:pPr>
      <w:r>
        <w:rPr>
          <w:rFonts w:ascii="Arial" w:cs="Arial" w:eastAsia="Arial" w:hAnsi="Arial"/>
          <w:sz w:val="22"/>
          <w:szCs w:val="22"/>
        </w:rPr>
        <w:t xml:space="preserve">Lattice Semiconductor. CrossLink-NX FPGA Family Datasheet. [Hardware implementation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5B8C"/>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1A2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2026-03-13T16:27:53.805Z</dcterms:created>
  <dcterms:modified xsi:type="dcterms:W3CDTF">2026-03-13T16:27:53.806Z</dcterms:modified>
</cp:coreProperties>
</file>

<file path=docProps/custom.xml><?xml version="1.0" encoding="utf-8"?>
<Properties xmlns="http://schemas.openxmlformats.org/officeDocument/2006/custom-properties" xmlns:vt="http://schemas.openxmlformats.org/officeDocument/2006/docPropsVTypes"/>
</file>