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472A4" w:rsidRDefault="00000000">
      <w:pPr>
        <w:pStyle w:val="Heading1"/>
        <w:spacing w:before="240" w:after="240"/>
        <w:jc w:val="center"/>
        <w:rPr>
          <w:rFonts w:ascii="Google Sans" w:eastAsia="Google Sans" w:hAnsi="Google Sans" w:cs="Google Sans"/>
        </w:rPr>
      </w:pPr>
      <w:bookmarkStart w:id="0" w:name="_o96gg215rrau" w:colFirst="0" w:colLast="0"/>
      <w:bookmarkEnd w:id="0"/>
      <w:r>
        <w:rPr>
          <w:rFonts w:ascii="Google Sans" w:eastAsia="Google Sans" w:hAnsi="Google Sans" w:cs="Google Sans"/>
        </w:rPr>
        <w:t>Compliance checklist exemplar</w:t>
      </w:r>
      <w:r>
        <w:rPr>
          <w:rFonts w:ascii="Google Sans" w:eastAsia="Google Sans" w:hAnsi="Google Sans" w:cs="Google Sans"/>
        </w:rPr>
        <w:br/>
      </w:r>
    </w:p>
    <w:p w14:paraId="00000002" w14:textId="77777777" w:rsidR="00E472A4" w:rsidRDefault="00000000">
      <w:pPr>
        <w:pStyle w:val="Heading1"/>
        <w:keepLines w:val="0"/>
        <w:spacing w:before="240" w:after="240" w:line="240" w:lineRule="auto"/>
        <w:rPr>
          <w:rFonts w:ascii="Google Sans" w:eastAsia="Google Sans" w:hAnsi="Google Sans" w:cs="Google Sans"/>
          <w:b/>
          <w:sz w:val="24"/>
          <w:szCs w:val="24"/>
        </w:rPr>
      </w:pPr>
      <w:bookmarkStart w:id="1" w:name="_2c30zvmj8t6" w:colFirst="0" w:colLast="0"/>
      <w:bookmarkEnd w:id="1"/>
      <w:r>
        <w:rPr>
          <w:rFonts w:ascii="Google Sans" w:eastAsia="Google Sans" w:hAnsi="Google Sans" w:cs="Google Sans"/>
          <w:b/>
          <w:sz w:val="24"/>
          <w:szCs w:val="24"/>
        </w:rPr>
        <w:t>_____ The Federal Energy Regulatory Commission - North American Electric</w:t>
      </w:r>
    </w:p>
    <w:p w14:paraId="00000003" w14:textId="77777777" w:rsidR="00E472A4" w:rsidRDefault="00000000">
      <w:pPr>
        <w:spacing w:before="240" w:after="240"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4" w14:textId="77777777" w:rsidR="00E472A4"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This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Federal Energy Regulatory Commission (FERC).</w:t>
      </w:r>
    </w:p>
    <w:p w14:paraId="00000005" w14:textId="77777777" w:rsidR="00E472A4"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NA</w:t>
      </w:r>
    </w:p>
    <w:p w14:paraId="00000006" w14:textId="77777777" w:rsidR="00E472A4" w:rsidRDefault="00000000">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__ General Data Protection Regulation (GDPR)</w:t>
      </w:r>
    </w:p>
    <w:p w14:paraId="00000007" w14:textId="77777777" w:rsidR="00E472A4"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GDPR is a European Union (E.U.) general data regulation that protects the processing of E.U. citizens’ data and their right to privacy in and out of E.U. territory. Additionally, if a breach occurs and </w:t>
      </w:r>
      <w:proofErr w:type="gramStart"/>
      <w:r>
        <w:rPr>
          <w:rFonts w:ascii="Google Sans" w:eastAsia="Google Sans" w:hAnsi="Google Sans" w:cs="Google Sans"/>
          <w:sz w:val="24"/>
          <w:szCs w:val="24"/>
        </w:rPr>
        <w:t>a E</w:t>
      </w:r>
      <w:proofErr w:type="gramEnd"/>
      <w:r>
        <w:rPr>
          <w:rFonts w:ascii="Google Sans" w:eastAsia="Google Sans" w:hAnsi="Google Sans" w:cs="Google Sans"/>
          <w:sz w:val="24"/>
          <w:szCs w:val="24"/>
        </w:rPr>
        <w:t>.U. citizen’s data is compromised, they must be informed within 72 hours of the incident.</w:t>
      </w:r>
    </w:p>
    <w:p w14:paraId="00000008" w14:textId="77777777" w:rsidR="00E472A4"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adhere to GDPR because they conduct business and collect personal information from people worldwide, including the E.U.</w:t>
      </w:r>
    </w:p>
    <w:p w14:paraId="00000009" w14:textId="77777777" w:rsidR="00E472A4" w:rsidRDefault="00000000">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__ Payment Card Industry Data Security Standard (PCI DSS)</w:t>
      </w:r>
    </w:p>
    <w:p w14:paraId="0000000A" w14:textId="77777777" w:rsidR="00E472A4"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lastRenderedPageBreak/>
        <w:t>PCI DSS is an international security standard meant to ensure that organizations storing, accepting, processing, and transmitting credit card information do so in a secure environment.</w:t>
      </w:r>
    </w:p>
    <w:p w14:paraId="0000000B" w14:textId="77777777" w:rsidR="00E472A4"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adhere to PCI DSS because they store, accept, process, and transmit credit card information in person and online.</w:t>
      </w:r>
    </w:p>
    <w:p w14:paraId="0000000C" w14:textId="77777777" w:rsidR="00E472A4" w:rsidRDefault="00000000">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0000000D" w14:textId="77777777" w:rsidR="00E472A4"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HIPAA is a federal law established in 1996 to protect U.S. patients' health information. This law prohibits patient information from being shared without their consent. Organizations have a legal obligation to inform patients of a breach.</w:t>
      </w:r>
    </w:p>
    <w:p w14:paraId="0000000E" w14:textId="77777777" w:rsidR="00E472A4"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NA</w:t>
      </w:r>
    </w:p>
    <w:p w14:paraId="0000000F" w14:textId="77777777" w:rsidR="00E472A4" w:rsidRDefault="00000000">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__ System and Organizations Controls (SOC type 1, SOC type 2)</w:t>
      </w:r>
    </w:p>
    <w:p w14:paraId="00000010" w14:textId="77777777" w:rsidR="00E472A4"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1" w14:textId="77777777" w:rsidR="00E472A4"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establish and enforce appropriate user access for internal and external (third-party vendor) personnel to mitigate risk and ensure data safety.</w:t>
      </w:r>
    </w:p>
    <w:p w14:paraId="00000012" w14:textId="77777777" w:rsidR="00E472A4" w:rsidRDefault="00E472A4">
      <w:pPr>
        <w:rPr>
          <w:rFonts w:ascii="Google Sans" w:eastAsia="Google Sans" w:hAnsi="Google Sans" w:cs="Google Sans"/>
        </w:rPr>
      </w:pPr>
    </w:p>
    <w:sectPr w:rsidR="00E472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2A4"/>
    <w:rsid w:val="006E30EA"/>
    <w:rsid w:val="00E472A4"/>
    <w:rsid w:val="00F018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96BB86-58A4-40A8-82D4-C04888C8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Hunter</cp:lastModifiedBy>
  <cp:revision>2</cp:revision>
  <dcterms:created xsi:type="dcterms:W3CDTF">2023-05-21T09:43:00Z</dcterms:created>
  <dcterms:modified xsi:type="dcterms:W3CDTF">2023-05-21T09:43:00Z</dcterms:modified>
</cp:coreProperties>
</file>