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"/>
      </w:pPr>
    </w:p>
    <w:p>
      <w:pPr>
        <w:spacing w:after="60" w:before="60"/>
      </w:pPr>
    </w:p>
    <w:p>
      <w:pPr>
        <w:spacing w:after="60" w:before="60"/>
      </w:pPr>
    </w:p>
    <w:p>
      <w:pPr>
        <w:spacing w:after="80" w:before="480"/>
        <w:jc w:val="center"/>
      </w:pPr>
      <w:r>
        <w:rPr>
          <w:rFonts w:ascii="Arial" w:cs="Arial" w:eastAsia="Arial" w:hAnsi="Arial"/>
          <w:b/>
          <w:bCs/>
          <w:color w:val="2C5F8A"/>
          <w:sz w:val="64"/>
          <w:szCs w:val="64"/>
        </w:rPr>
        <w:t xml:space="preserve">PO Extractor</w:t>
      </w:r>
    </w:p>
    <w:p>
      <w:pPr>
        <w:spacing w:after="160" w:before="0"/>
        <w:jc w:val="center"/>
      </w:pPr>
      <w:r>
        <w:rPr>
          <w:rFonts w:ascii="Arial" w:cs="Arial" w:eastAsia="Arial" w:hAnsi="Arial"/>
          <w:color w:val="444444"/>
          <w:sz w:val="44"/>
          <w:szCs w:val="44"/>
        </w:rPr>
        <w:t xml:space="preserve">Sky East User Guide</w:t>
      </w:r>
    </w:p>
    <w:p>
      <w:pPr>
        <w:spacing w:after="400" w:before="0"/>
        <w:jc w:val="center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For Sky East Purchase Contract Users</w:t>
      </w: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c>
          <w:tcPr>
            <w:tcW w:type="dxa" w:w="7000"/>
            <w:tcBorders>
              <w:top w:val="single" w:color="5B9BD5" w:sz="1"/>
              <w:left w:val="thick" w:color="2C5F8A" w:sz="8"/>
              <w:bottom w:val="single" w:color="5B9BD5" w:sz="1"/>
              <w:right w:val="single" w:color="5B9BD5" w:sz="1"/>
            </w:tcBorders>
            <w:shd w:fill="EEF4FB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sz w:val="22"/>
                <w:szCs w:val="22"/>
              </w:rPr>
              <w:t xml:space="preserve">This guide is for Sky East users with a standard (non-admin) account.</w:t>
            </w:r>
          </w:p>
        </w:tc>
      </w:tr>
    </w:tbl>
    <w:p>
      <w:pPr>
        <w:spacing w:after="0" w:before="0"/>
        <w:jc w:val="center"/>
      </w:pPr>
    </w:p>
    <w:p>
      <w:r>
        <w:br w:type="page"/>
      </w: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2C5F8A"/>
          <w:sz w:val="32"/>
          <w:szCs w:val="32"/>
        </w:rPr>
        <w:t xml:space="preserve">1.  Getting Started — Logging In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Open your browser and navigate to the PO Extractor URL provided by your administrator. You will see the login screen below.</w:t>
      </w:r>
    </w:p>
    <w:p>
      <w:pPr>
        <w:spacing w:after="60" w:before="60"/>
      </w:pPr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pacing w:after="60" w:before="120"/>
        <w:jc w:val="center"/>
      </w:pPr>
      <w:r>
        <w:drawing>
          <wp:inline distT="0" distB="0" distL="0" distR="0">
            <wp:extent cx="6000750" cy="3752850"/>
            <wp:effectExtent t="0" r="0" b="0" l="0"/>
            <wp:docPr id="1" name="Login screen" descr="Login screen" title="Login scre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Figure 1 – Login screen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Steps to log in: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Username: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Enter your username in the Username field.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Password: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Enter your password in the Password field.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Sign In: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Click the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Sign In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button.</w:t>
      </w:r>
    </w:p>
    <w:p>
      <w:pPr>
        <w:spacing w:after="60" w:before="60"/>
      </w:pP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After a successful login you will land on the main dashboard. Click the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Sky East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tab in the top navigation bar to begin working with purchase contracts.</w:t>
      </w:r>
    </w:p>
    <w:p>
      <w:pPr>
        <w:spacing w:after="60" w:before="60"/>
      </w:pPr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pacing w:after="60" w:before="120"/>
        <w:jc w:val="center"/>
      </w:pPr>
      <w:r>
        <w:drawing>
          <wp:inline distT="0" distB="0" distL="0" distR="0">
            <wp:extent cx="6000750" cy="3752850"/>
            <wp:effectExtent t="0" r="0" b="0" l="0"/>
            <wp:docPr id="1" name="Main dashboard" descr="Main dashboard" title="Main 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Figure 2 – Main dashboard after login (Sky East tab is in the top navigation bar)</w:t>
      </w:r>
    </w:p>
    <w:p>
      <w:r>
        <w:br w:type="page"/>
      </w: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2C5F8A"/>
          <w:sz w:val="32"/>
          <w:szCs w:val="32"/>
        </w:rPr>
        <w:t xml:space="preserve">2.  Sky East Purchase Contracts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Sky East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tab is your main workspace. It contains three sub-tabs: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New Contracts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,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Contract History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, and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Missing Fields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.</w:t>
      </w:r>
    </w:p>
    <w:p>
      <w:pPr>
        <w:spacing w:after="60" w:before="60"/>
      </w:pPr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pacing w:after="60" w:before="120"/>
        <w:jc w:val="center"/>
      </w:pPr>
      <w:r>
        <w:drawing>
          <wp:inline distT="0" distB="0" distL="0" distR="0">
            <wp:extent cx="6000750" cy="3752850"/>
            <wp:effectExtent t="0" r="0" b="0" l="0"/>
            <wp:docPr id="1" name="Sky East New Contracts" descr="Sky East New Contracts" title="Sky East New Contrac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Figure 3 – Sky East tab — New Contracts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C5F8A"/>
          <w:sz w:val="26"/>
          <w:szCs w:val="26"/>
        </w:rPr>
        <w:t xml:space="preserve">2.1  Uploading a New Contract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New Contracts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sub-tab is where you upload Sky East purchase contract Excel files for processing.</w:t>
      </w:r>
    </w:p>
    <w:p>
      <w:pPr>
        <w:spacing w:after="6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Step 1 — Upload Order Files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Under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Order Files (Sky East Purchase Contract xlsx)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, click the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Upload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button and select one or more Sky East purchase contract Excel files (XLSX, XLS, or XLSM format, up to 200 MB per file).</w:t>
      </w:r>
    </w:p>
    <w:p>
      <w:pPr>
        <w:spacing w:after="60" w:before="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5B9BD5" w:sz="1"/>
              <w:left w:val="thick" w:color="2C5F8A" w:sz="8"/>
              <w:bottom w:val="single" w:color="5B9BD5" w:sz="1"/>
              <w:right w:val="single" w:color="5B9BD5" w:sz="1"/>
            </w:tcBorders>
            <w:shd w:fill="EEF4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C5F8A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Files with the same PC No. are automatically merged — quantities are added together. If size breakdowns have changed, the system detects it as an amendment and logs it to Contract History.</w:t>
            </w:r>
          </w:p>
        </w:tc>
      </w:tr>
    </w:tbl>
    <w:p>
      <w:pPr>
        <w:spacing w:after="6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Step 2 — Reference Files (Optional)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Reference files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section is optional but recommended. Click the arrow to expand it.</w:t>
      </w:r>
    </w:p>
    <w:p>
      <w:pPr>
        <w:spacing w:after="60" w:before="60"/>
      </w:pPr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pacing w:after="60" w:before="120"/>
        <w:jc w:val="center"/>
      </w:pPr>
      <w:r>
        <w:drawing>
          <wp:inline distT="0" distB="0" distL="0" distR="0">
            <wp:extent cx="6000750" cy="3752850"/>
            <wp:effectExtent t="0" r="0" b="0" l="0"/>
            <wp:docPr id="1" name="Reference files expanded" descr="Reference files expanded" title="Reference files expand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Figure 4 – Reference files section expanded</w:t>
      </w:r>
    </w:p>
    <w:p>
      <w:pPr>
        <w:spacing w:after="60" w:before="60"/>
      </w:pP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Config SKU file (Zalando PO report xlsx):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Upload the Zalando PO report to cross-reference style and SKU data.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HHN contract No. file: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Upload the HHN 大货进度表 (Progress Tracker) Excel file to enable automatic Chinese color mapping.</w:t>
      </w:r>
    </w:p>
    <w:p>
      <w:pPr>
        <w:spacing w:after="6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Step 3 — Chinese Color Mapping Source (中文颜色 / 中文颜色代码)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Below the reference files, choose how the system should look up Chinese color names: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Internal Database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— Use the built-in color translation table maintained in the Colors tab.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大货进度表 (HHN Contract File)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— Look up Chinese color names directly from the HHN Progress Tracker file uploaded in Step 2. Recommended when the progress tracker is available.</w:t>
      </w:r>
    </w:p>
    <w:p>
      <w:pPr>
        <w:spacing w:after="6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Step 4 — Process and Download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Once files are uploaded and settings are configured, click the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Process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button (scroll down to find it). The system will process the contracts and generate: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Buy Plan workbook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— the main output Excel file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核料 (Nukuryou) workbook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— fabric requisition summary</w:t>
      </w:r>
    </w:p>
    <w:p>
      <w:pPr>
        <w:spacing w:after="60" w:before="60"/>
      </w:pP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Download buttons will appear after processing is complete. Click each button to save the files to your computer.</w:t>
      </w:r>
    </w:p>
    <w:p>
      <w:r>
        <w:br w:type="pag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C5F8A"/>
          <w:sz w:val="26"/>
          <w:szCs w:val="26"/>
        </w:rPr>
        <w:t xml:space="preserve">2.2  Contract History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Click the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Contract History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sub-tab to view all previously saved contracts.</w:t>
      </w:r>
    </w:p>
    <w:p>
      <w:pPr>
        <w:spacing w:after="60" w:before="60"/>
      </w:pPr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pacing w:after="60" w:before="120"/>
        <w:jc w:val="center"/>
      </w:pPr>
      <w:r>
        <w:drawing>
          <wp:inline distT="0" distB="0" distL="0" distR="0">
            <wp:extent cx="6000750" cy="3752850"/>
            <wp:effectExtent t="0" r="0" b="0" l="0"/>
            <wp:docPr id="1" name="Contract History" descr="Contract History" title="Contract His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Figure 5 – Contract History showing saved PC numbers</w:t>
      </w:r>
    </w:p>
    <w:p>
      <w:pPr>
        <w:spacing w:after="60" w:before="60"/>
      </w:pP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table displays all saved contracts with columns: PC No., PC Date, Buyer, Seller, Styles, Total Qty, Currency, Trade Terms.</w:t>
      </w:r>
    </w:p>
    <w:p>
      <w:pPr>
        <w:spacing w:after="6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Downloading by PC No.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Scroll down to the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Download items by PC No.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section. Select one or more PC numbers from the list and click the download button to regenerate and download the Buy Plan workbook for those specific contracts.</w:t>
      </w:r>
    </w:p>
    <w:p>
      <w:pPr>
        <w:spacing w:after="60" w:before="60"/>
      </w:pPr>
    </w:p>
    <w:p>
      <w:pPr>
        <w:pBdr>
          <w:bottom w:val="single" w:color="CCCCCC" w:sz="4"/>
        </w:pBdr>
        <w:spacing w:after="160" w:before="160"/>
      </w:pPr>
    </w:p>
    <w:p>
      <w:pPr>
        <w:spacing w:after="60" w:before="6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C5F8A"/>
          <w:sz w:val="26"/>
          <w:szCs w:val="26"/>
        </w:rPr>
        <w:t xml:space="preserve">2.3  Missing Fields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Click the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Missing Fields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sub-tab to view and fix items that have incomplete data (e.g., missing Fabric No. or HHN Contract No.).</w:t>
      </w:r>
    </w:p>
    <w:p>
      <w:pPr>
        <w:spacing w:after="60" w:before="60"/>
      </w:pPr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pacing w:after="60" w:before="120"/>
        <w:jc w:val="center"/>
      </w:pPr>
      <w:r>
        <w:drawing>
          <wp:inline distT="0" distB="0" distL="0" distR="0">
            <wp:extent cx="6000750" cy="3752850"/>
            <wp:effectExtent t="0" r="0" b="0" l="0"/>
            <wp:docPr id="1" name="Missing Fields" descr="Missing Fields" title="Missing Fiel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Figure 6 – Missing Fields tab showing items with incomplete data</w:t>
      </w:r>
    </w:p>
    <w:p>
      <w:pPr>
        <w:spacing w:after="60" w:before="60"/>
      </w:pP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Use the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Filter by PC No.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dropdown to narrow down the list to a specific purchase contract.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Click directly on a cell in the table to edit it inline.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After making your corrections, click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Save Changes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to update the database.</w:t>
      </w:r>
    </w:p>
    <w:p>
      <w:r>
        <w:br w:type="page"/>
      </w: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2C5F8A"/>
          <w:sz w:val="32"/>
          <w:szCs w:val="32"/>
        </w:rPr>
        <w:t xml:space="preserve">3.  Order Summary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Click the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Summary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tab in the top navigation bar to see an aggregated overview of all your orders.</w:t>
      </w:r>
    </w:p>
    <w:p>
      <w:pPr>
        <w:spacing w:after="60" w:before="60"/>
      </w:pPr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pacing w:after="60" w:before="120"/>
        <w:jc w:val="center"/>
      </w:pPr>
      <w:r>
        <w:drawing>
          <wp:inline distT="0" distB="0" distL="0" distR="0">
            <wp:extent cx="6000750" cy="3752850"/>
            <wp:effectExtent t="0" r="0" b="0" l="0"/>
            <wp:docPr id="1" name="Order Summary" descr="Order Summary" title="Order Summa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Figure 7 – Order Summary showing total POs, styles, and units</w:t>
      </w:r>
    </w:p>
    <w:p>
      <w:pPr>
        <w:spacing w:after="60" w:before="60"/>
      </w:pP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summary shows: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Companies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— number of companies you have access to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Total POs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— total number of purchase orders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Total Styles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— total style count across all orders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Total Units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— total quantity across all orders</w:t>
      </w:r>
    </w:p>
    <w:p>
      <w:pPr>
        <w:spacing w:after="60" w:before="60"/>
      </w:pP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table below breaks down the totals by company. Expand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Sky East — full item list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to browse all individual items, and click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Download Full Summary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to export the data to Excel.</w:t>
      </w:r>
    </w:p>
    <w:p>
      <w:pPr>
        <w:spacing w:after="60" w:before="60"/>
      </w:pPr>
    </w:p>
    <w:p>
      <w:pPr>
        <w:pBdr>
          <w:bottom w:val="single" w:color="CCCCCC" w:sz="4"/>
        </w:pBdr>
        <w:spacing w:after="160" w:before="160"/>
      </w:pPr>
    </w:p>
    <w:p>
      <w:pPr>
        <w:spacing w:after="60" w:before="6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2C5F8A"/>
          <w:sz w:val="32"/>
          <w:szCs w:val="32"/>
        </w:rPr>
        <w:t xml:space="preserve">4.  Colors Reference Table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Click the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Colors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tab in the top navigation bar to view the English-to-Chinese color name mapping table.</w:t>
      </w:r>
    </w:p>
    <w:p>
      <w:pPr>
        <w:spacing w:after="60" w:before="60"/>
      </w:pPr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pacing w:after="60" w:before="120"/>
        <w:jc w:val="center"/>
      </w:pPr>
      <w:r>
        <w:drawing>
          <wp:inline distT="0" distB="0" distL="0" distR="0">
            <wp:extent cx="6000750" cy="3752850"/>
            <wp:effectExtent t="0" r="0" b="0" l="0"/>
            <wp:docPr id="1" name="Color Name Translation" descr="Color Name Translation" title="Color Name Transl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6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Figure 8 – Color Name Translation table</w:t>
      </w:r>
    </w:p>
    <w:p>
      <w:pPr>
        <w:spacing w:after="60" w:before="60"/>
      </w:pP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This table maps English color names to their Chinese equivalents (中文颜色) by client and brand. It is used by the system when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Internal Database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is selected as the color mapping source.</w:t>
      </w:r>
    </w:p>
    <w:p>
      <w:pPr>
        <w:spacing w:after="60" w:before="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5B9BD5" w:sz="1"/>
              <w:left w:val="thick" w:color="2C5F8A" w:sz="8"/>
              <w:bottom w:val="single" w:color="5B9BD5" w:sz="1"/>
              <w:right w:val="single" w:color="5B9BD5" w:sz="1"/>
            </w:tcBorders>
            <w:shd w:fill="EEF4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C5F8A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As a standard user, you can view the color table. If you notice a missing or incorrect color mapping, contact your administrator to have it updated.</w:t>
            </w:r>
          </w:p>
        </w:tc>
      </w:tr>
    </w:tbl>
    <w:p>
      <w:r>
        <w:br w:type="page"/>
      </w: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2C5F8A"/>
          <w:sz w:val="32"/>
          <w:szCs w:val="32"/>
        </w:rPr>
        <w:t xml:space="preserve">5.  Account Management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C5F8A"/>
          <w:sz w:val="26"/>
          <w:szCs w:val="26"/>
        </w:rPr>
        <w:t xml:space="preserve">5.1  Changing Your Password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In the left sidebar, click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Change Password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(click the arrow to expand it). Enter your current password, then enter and confirm your new password, and click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Save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.</w:t>
      </w:r>
    </w:p>
    <w:p>
      <w:pPr>
        <w:spacing w:after="60" w:before="6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2C5F8A"/>
          <w:sz w:val="26"/>
          <w:szCs w:val="26"/>
        </w:rPr>
        <w:t xml:space="preserve">5.2  Signing Out</w:t>
      </w:r>
    </w:p>
    <w:p>
      <w:pPr>
        <w:spacing w:after="80" w:before="80"/>
        <w:jc w:val="left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In the left sidebar, click the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Sign Out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button to log out of the application.</w:t>
      </w:r>
    </w:p>
    <w:p>
      <w:pPr>
        <w:spacing w:after="60" w:before="60"/>
      </w:pPr>
    </w:p>
    <w:p>
      <w:pPr>
        <w:pBdr>
          <w:bottom w:val="single" w:color="CCCCCC" w:sz="4"/>
        </w:pBdr>
        <w:spacing w:after="160" w:before="160"/>
      </w:pPr>
    </w:p>
    <w:p>
      <w:pPr>
        <w:spacing w:after="60" w:before="60"/>
      </w:pP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2C5F8A"/>
          <w:sz w:val="32"/>
          <w:szCs w:val="32"/>
        </w:rPr>
        <w:t xml:space="preserve">Tips and Notes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File formats: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Order files must be Excel format (XLSX, XLS, XLSM). PDF files are not supported for Sky East contracts.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Same PC No. merging: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If you upload two files with the same PC number, their quantities are combined. The system will flag any size breakdown changes as amendments.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Language: 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The interface supports English and Chinese. Click the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切换中文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button in the sidebar to switch to Chinese.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Contact your administrator</w:t>
      </w:r>
      <w:r>
        <w:rPr>
          <w:rFonts w:ascii="Arial" w:cs="Arial" w:eastAsia="Arial" w:hAnsi="Arial"/>
          <w:b w:val="false"/>
          <w:bCs w:val="false"/>
          <w:color w:val="1A1A1A"/>
          <w:sz w:val="22"/>
          <w:szCs w:val="22"/>
        </w:rPr>
        <w:t xml:space="preserve"> if you need access to additional companies or encounter any login issues.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/>
      </w:pBdr>
      <w:spacing w:after="0" w:before="120"/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of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C5F8A" w:sz="4"/>
      </w:pBdr>
      <w:spacing w:after="120" w:before="0"/>
    </w:pPr>
    <w:r>
      <w:rPr>
        <w:rFonts w:ascii="Arial" w:cs="Arial" w:eastAsia="Arial" w:hAnsi="Arial"/>
        <w:color w:val="888888"/>
        <w:sz w:val="18"/>
        <w:szCs w:val="18"/>
      </w:rPr>
      <w:t xml:space="preserve">PO Extractor  —  Sky East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0" w:before="400"/>
      <w:outlineLvl w:val="0"/>
    </w:pPr>
    <w:rPr>
      <w:rFonts w:ascii="Arial" w:cs="Arial" w:eastAsia="Arial" w:hAnsi="Arial"/>
      <w:b/>
      <w:bCs/>
      <w:color w:val="2C5F8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0" w:before="280"/>
      <w:outlineLvl w:val="1"/>
    </w:pPr>
    <w:rPr>
      <w:rFonts w:ascii="Arial" w:cs="Arial" w:eastAsia="Arial" w:hAnsi="Arial"/>
      <w:b/>
      <w:bCs/>
      <w:color w:val="2C5F8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0" w:before="200"/>
      <w:outlineLvl w:val="2"/>
    </w:pPr>
    <w:rPr>
      <w:rFonts w:ascii="Arial" w:cs="Arial" w:eastAsia="Arial" w:hAnsi="Arial"/>
      <w:b/>
      <w:bCs/>
      <w:color w:val="1A1A1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c6917e191030f9c1e968479c2934fc2f48ec799.jpg"/><Relationship Id="rId10" Type="http://schemas.openxmlformats.org/officeDocument/2006/relationships/image" Target="media/6f85c361faf0ad05cec37246de893295d9ee53ae.jpg"/><Relationship Id="rId11" Type="http://schemas.openxmlformats.org/officeDocument/2006/relationships/image" Target="media/f78ce540763e0efba5a62db48ef777c20cfc8735.jpg"/><Relationship Id="rId12" Type="http://schemas.openxmlformats.org/officeDocument/2006/relationships/image" Target="media/8155c51005fa4b150c925b84556fd77160f5d35a.jpg"/><Relationship Id="rId13" Type="http://schemas.openxmlformats.org/officeDocument/2006/relationships/image" Target="media/59426f36800b164be3b7f86fc6e2fd8fefabb3b3.jpg"/><Relationship Id="rId14" Type="http://schemas.openxmlformats.org/officeDocument/2006/relationships/image" Target="media/746d82879195ab208daa282485fad0d977f0e43c.jpg"/><Relationship Id="rId15" Type="http://schemas.openxmlformats.org/officeDocument/2006/relationships/image" Target="media/a498164ffd2cea10c96e42ddf4965d4699dbbaeb.jpg"/><Relationship Id="rId16" Type="http://schemas.openxmlformats.org/officeDocument/2006/relationships/image" Target="media/42edefae37b8e26e3e8355d673e12586efe15484.jp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2026-05-08T21:51:04.513Z</dcterms:created>
  <dcterms:modified xsi:type="dcterms:W3CDTF">2026-05-08T21:51:04.513Z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