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LAGOS PROPERTY MARKET</w:t>
        <w:br/>
        <w:t>WEEKLY INTELLIGENCE REPORT</w:t>
      </w:r>
    </w:p>
    <w:p>
      <w:pPr>
        <w:jc w:val="center"/>
      </w:pPr>
      <w:r>
        <w:rPr>
          <w:i/>
        </w:rPr>
        <w:t>29 September 2026</w:t>
      </w:r>
    </w:p>
    <w:p>
      <w:pPr>
        <w:pStyle w:val="Heading1"/>
      </w:pPr>
      <w:r>
        <w:t>1. Executive Decision Brief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Metric</w:t>
            </w:r>
          </w:p>
        </w:tc>
        <w:tc>
          <w:tcPr>
            <w:tcW w:type="dxa" w:w="3408"/>
          </w:tcPr>
          <w:p>
            <w:r>
              <w:t>Current</w:t>
            </w:r>
          </w:p>
        </w:tc>
        <w:tc>
          <w:tcPr>
            <w:tcW w:type="dxa" w:w="3408"/>
          </w:tcPr>
          <w:p>
            <w:r>
              <w:t>WoW</w:t>
            </w:r>
          </w:p>
        </w:tc>
      </w:tr>
      <w:tr>
        <w:tc>
          <w:tcPr>
            <w:tcW w:type="dxa" w:w="3408"/>
          </w:tcPr>
          <w:p>
            <w:r>
              <w:t>Listings tracked</w:t>
            </w:r>
          </w:p>
        </w:tc>
        <w:tc>
          <w:tcPr>
            <w:tcW w:type="dxa" w:w="3408"/>
          </w:tcPr>
          <w:p>
            <w:r>
              <w:t>175</w:t>
            </w:r>
          </w:p>
        </w:tc>
        <w:tc>
          <w:tcPr>
            <w:tcW w:type="dxa" w:w="3408"/>
          </w:tcPr>
          <w:p>
            <w:r>
              <w:t>↓ 24.6%</w:t>
            </w:r>
          </w:p>
        </w:tc>
      </w:tr>
      <w:tr>
        <w:tc>
          <w:tcPr>
            <w:tcW w:type="dxa" w:w="3408"/>
          </w:tcPr>
          <w:p>
            <w:r>
              <w:t>Areas monitored</w:t>
            </w:r>
          </w:p>
        </w:tc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Sources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New listings</w:t>
            </w:r>
          </w:p>
        </w:tc>
        <w:tc>
          <w:tcPr>
            <w:tcW w:type="dxa" w:w="3408"/>
          </w:tcPr>
          <w:p>
            <w:r>
              <w:t>44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reductions</w:t>
            </w:r>
          </w:p>
        </w:tc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Price increases</w:t>
            </w:r>
          </w:p>
        </w:tc>
        <w:tc>
          <w:tcPr>
            <w:tcW w:type="dxa" w:w="3408"/>
          </w:tcPr>
          <w:p>
            <w:r>
              <w:t>17</w:t>
            </w:r>
          </w:p>
        </w:tc>
        <w:tc>
          <w:tcPr>
            <w:tcW w:type="dxa" w:w="3408"/>
          </w:tcPr>
          <w:p>
            <w:r>
              <w:t>—</w:t>
            </w:r>
          </w:p>
        </w:tc>
      </w:tr>
      <w:tr>
        <w:tc>
          <w:tcPr>
            <w:tcW w:type="dxa" w:w="3408"/>
          </w:tcPr>
          <w:p>
            <w:r>
              <w:t>Median apartment sale</w:t>
            </w:r>
          </w:p>
        </w:tc>
        <w:tc>
          <w:tcPr>
            <w:tcW w:type="dxa" w:w="3408"/>
          </w:tcPr>
          <w:p>
            <w:r>
              <w:t>₦800,000,000</w:t>
            </w:r>
          </w:p>
        </w:tc>
        <w:tc>
          <w:tcPr>
            <w:tcW w:type="dxa" w:w="3408"/>
          </w:tcPr>
          <w:p>
            <w:r>
              <w:t>↑ 14.3%</w:t>
            </w:r>
          </w:p>
        </w:tc>
      </w:tr>
      <w:tr>
        <w:tc>
          <w:tcPr>
            <w:tcW w:type="dxa" w:w="3408"/>
          </w:tcPr>
          <w:p>
            <w:r>
              <w:t>Median annual rent</w:t>
            </w:r>
          </w:p>
        </w:tc>
        <w:tc>
          <w:tcPr>
            <w:tcW w:type="dxa" w:w="3408"/>
          </w:tcPr>
          <w:p>
            <w:r>
              <w:t>₦20,000,000</w:t>
            </w:r>
          </w:p>
        </w:tc>
        <w:tc>
          <w:tcPr>
            <w:tcW w:type="dxa" w:w="3408"/>
          </w:tcPr>
          <w:p>
            <w:r>
              <w:t>→ 0.0%</w:t>
            </w:r>
          </w:p>
        </w:tc>
      </w:tr>
      <w:tr>
        <w:tc>
          <w:tcPr>
            <w:tcW w:type="dxa" w:w="3408"/>
          </w:tcPr>
          <w:p>
            <w:r>
              <w:t>Median land ₦/sqm</w:t>
            </w:r>
          </w:p>
        </w:tc>
        <w:tc>
          <w:tcPr>
            <w:tcW w:type="dxa" w:w="3408"/>
          </w:tcPr>
          <w:p>
            <w:r>
              <w:t>₦1,200,000</w:t>
            </w:r>
          </w:p>
        </w:tc>
        <w:tc>
          <w:tcPr>
            <w:tcW w:type="dxa" w:w="3408"/>
          </w:tcPr>
          <w:p>
            <w:r>
              <w:t>↓ 59.9%</w:t>
            </w:r>
          </w:p>
        </w:tc>
      </w:tr>
    </w:tbl>
    <w:p>
      <w:pPr>
        <w:pStyle w:val="Heading1"/>
      </w:pPr>
      <w:r>
        <w:t>2. What Happened This Week</w:t>
      </w:r>
    </w:p>
    <w:p>
      <w:r>
        <w:t>Median apartment asking sale price increased 14.3% week on week.</w:t>
      </w:r>
    </w:p>
    <w:p>
      <w:r>
        <w:t>Median annual apartment rent held 0.0% week on week.</w:t>
      </w:r>
    </w:p>
    <w:p>
      <w:r>
        <w:t>Median land asking price per sqm decreased 59.9% week on week.</w:t>
      </w:r>
    </w:p>
    <w:p>
      <w:r>
        <w:t>The scan captured 57 fewer comparable listings than the previous snapshot.</w:t>
      </w:r>
    </w:p>
    <w:p>
      <w:r>
        <w:t>The deepest comparable coverage this week is in Old Ikoyi, Banana Island, Lekki Phase 1.</w:t>
      </w:r>
    </w:p>
    <w:p>
      <w:r>
        <w:t>Thin coverage in Wuse, Ikeja GRA, Maitama means those areas should be treated as watchlist signals rather than firm pricing conclusions.</w:t>
      </w:r>
    </w:p>
    <w:p>
      <w:r>
        <w:t>Lekki Phase 1 currently shows the strongest rental pricing/yield proxy among areas with usable observations.</w:t>
      </w:r>
    </w:p>
    <w:p>
      <w:r>
        <w:t>Wuse currently screens as the lowest observed apartment sale ₦/sqm among areas with usable data.</w:t>
      </w:r>
    </w:p>
    <w:p>
      <w:r>
        <w:t>Lekki Phase 1 currently screens strongest on the rental-yield proxy, subject to the available comparable sample.</w:t>
      </w:r>
    </w:p>
    <w:p>
      <w:r>
        <w:t>Banana Island shows the strongest positive six-month sale-price movement among areas with sufficient sale observations.</w:t>
      </w:r>
    </w:p>
    <w:p>
      <w:pPr>
        <w:pStyle w:val="Heading1"/>
      </w:pPr>
      <w:r>
        <w:t>3. Where the Opportunity Is</w:t>
      </w:r>
    </w:p>
    <w:p>
      <w:pPr>
        <w:pStyle w:val="ListBullet"/>
      </w:pPr>
      <w:r>
        <w:t>Most expensive: Old Ikoyi</w:t>
      </w:r>
    </w:p>
    <w:p>
      <w:pPr>
        <w:pStyle w:val="ListBullet"/>
      </w:pPr>
      <w:r>
        <w:t>Strongest rental pricing / yield proxy: Lekki Phase 1</w:t>
      </w:r>
    </w:p>
    <w:p>
      <w:pPr>
        <w:pStyle w:val="ListBullet"/>
      </w:pPr>
      <w:r>
        <w:t>Best relative value: Wuse</w:t>
      </w:r>
    </w:p>
    <w:p>
      <w:pPr>
        <w:pStyle w:val="ListBullet"/>
      </w:pPr>
      <w:r>
        <w:t>Lowest observed land ₦/sqm: Banana Island</w:t>
      </w:r>
    </w:p>
    <w:p>
      <w:r>
        <w:t>Watch closely: Wuse, Ikeja GRA, Maitama</w:t>
      </w:r>
    </w:p>
    <w:p>
      <w:pPr>
        <w:pStyle w:val="Heading1"/>
      </w:pPr>
      <w:r>
        <w:t>4. Sales, Rentals &amp; Land</w:t>
      </w:r>
    </w:p>
    <w:p>
      <w:r>
        <w:t>Banana Island: 35 comparables; 3BR sale ₦850,000,000; 3BR rent ₦55,000,000; sale ₦/sqm ₦8,108,108; land ₦/sqm ₦4,000.</w:t>
      </w:r>
    </w:p>
    <w:p>
      <w:r>
        <w:t>Old Ikoyi: 36 comparables; 3BR sale ₦950,000,000; 3BR rent ₦50,000,000; sale ₦/sqm ₦2,000,000; land ₦/sqm ₦5,000,000.</w:t>
      </w:r>
    </w:p>
    <w:p>
      <w:r>
        <w:t>Lekki Phase 1: 32 comparables; 3BR sale ₦450,000,000; 3BR rent ₦144,000,000; sale ₦/sqm N/A; land ₦/sqm ₦2,083,333.</w:t>
      </w:r>
    </w:p>
    <w:p>
      <w:r>
        <w:t>Victoria Island: 21 comparables; 3BR sale ₦590,000,000; 3BR rent ₦35,000,000; sale ₦/sqm ₦1,213,592; land ₦/sqm ₦1,151,304.</w:t>
      </w:r>
    </w:p>
    <w:p>
      <w:r>
        <w:t>Ikeja GRA: 13 comparables; 3BR sale ₦400,000,000; 3BR rent ₦20,000,000; sale ₦/sqm N/A; land ₦/sqm ₦1,970,865.</w:t>
      </w:r>
    </w:p>
    <w:p>
      <w:r>
        <w:t>Asokoro: 21 comparables; 3BR sale ₦50,165,000; 3BR rent ₦8,000,000; sale ₦/sqm N/A; land ₦/sqm ₦78,947.</w:t>
      </w:r>
    </w:p>
    <w:p>
      <w:r>
        <w:t>Maitama: 16 comparables; 3BR sale N/A; 3BR rent ₦30,000,000; sale ₦/sqm N/A; land ₦/sqm ₦1,200,000.</w:t>
      </w:r>
    </w:p>
    <w:p>
      <w:r>
        <w:t>Wuse: 1 comparables; 3BR sale ₦75,000,000; 3BR rent N/A; sale ₦/sqm ₦62,500; land ₦/sqm N/A.</w:t>
      </w:r>
    </w:p>
    <w:p>
      <w:pPr>
        <w:pStyle w:val="Heading1"/>
      </w:pPr>
      <w:r>
        <w:t>5. Six-Month Trend View</w:t>
      </w:r>
    </w:p>
    <w:p>
      <w:pPr>
        <w:pStyle w:val="ListBullet"/>
      </w:pPr>
      <w:r>
        <w:t>Banana Island: sale +18.1%, rent +57.1%, land ₦/sqm -100.0%</w:t>
      </w:r>
    </w:p>
    <w:p>
      <w:pPr>
        <w:pStyle w:val="ListBullet"/>
      </w:pPr>
      <w:r>
        <w:t>Old Ikoyi: sale -5.0%, rent +42.9%, land ₦/sqm +13.6%</w:t>
      </w:r>
    </w:p>
    <w:p>
      <w:pPr>
        <w:pStyle w:val="ListBullet"/>
      </w:pPr>
      <w:r>
        <w:t>Lekki Phase 1: sale -18.2%, rent +620.0%, land ₦/sqm +5.7%</w:t>
      </w:r>
    </w:p>
    <w:p>
      <w:pPr>
        <w:pStyle w:val="ListBullet"/>
      </w:pPr>
      <w:r>
        <w:t>Victoria Island: sale -15.7%, rent +55.6%, land ₦/sqm -56.9%</w:t>
      </w:r>
    </w:p>
    <w:p>
      <w:pPr>
        <w:pStyle w:val="ListBullet"/>
      </w:pPr>
      <w:r>
        <w:t>Ikeja GRA: sale -4.8%, rent -27.3%, land ₦/sqm +51.6%</w:t>
      </w:r>
    </w:p>
    <w:p>
      <w:pPr>
        <w:pStyle w:val="ListBullet"/>
      </w:pPr>
      <w:r>
        <w:t>Asokoro: sale -75.5%, rent -11.1%, land ₦/sqm -90.0%</w:t>
      </w:r>
    </w:p>
    <w:p>
      <w:pPr>
        <w:pStyle w:val="ListBullet"/>
      </w:pPr>
      <w:r>
        <w:t>Maitama: rent +20.0%, land ₦/sqm -34.0%</w:t>
      </w:r>
    </w:p>
    <w:p>
      <w:pPr>
        <w:pStyle w:val="ListBullet"/>
      </w:pPr>
      <w:r>
        <w:t>Wuse: sale -44.4%</w:t>
      </w:r>
    </w:p>
    <w:p>
      <w:pPr>
        <w:pStyle w:val="Heading1"/>
      </w:pPr>
      <w:r>
        <w:t>6. Recommended Actions</w:t>
      </w:r>
    </w:p>
    <w:p>
      <w:r>
        <w:t>Use relative pricing and weekly movement to prioritise negotiations and areas for deeper diligence. Do not treat a thinly sampled area as a definitive market index.</w:t>
      </w:r>
    </w:p>
    <w:p>
      <w:r>
        <w:t>All prices are asking prices. Estate Intel data is limited to public research; no premium or authentication controls are bypassed.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