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LAGOS PROPERTY MARKET</w:t>
        <w:br/>
        <w:t>WEEKLY INTELLIGENCE REPORT</w:t>
      </w:r>
    </w:p>
    <w:p>
      <w:pPr>
        <w:jc w:val="center"/>
      </w:pPr>
      <w:r>
        <w:rPr>
          <w:i/>
        </w:rPr>
        <w:t>09 September 2026</w:t>
      </w:r>
    </w:p>
    <w:p>
      <w:pPr>
        <w:pStyle w:val="Heading1"/>
      </w:pPr>
      <w:r>
        <w:t>1. Executive Decision Brief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Current</w:t>
            </w:r>
          </w:p>
        </w:tc>
        <w:tc>
          <w:tcPr>
            <w:tcW w:type="dxa" w:w="3408"/>
          </w:tcPr>
          <w:p>
            <w:r>
              <w:t>WoW</w:t>
            </w:r>
          </w:p>
        </w:tc>
      </w:tr>
      <w:tr>
        <w:tc>
          <w:tcPr>
            <w:tcW w:type="dxa" w:w="3408"/>
          </w:tcPr>
          <w:p>
            <w:r>
              <w:t>Listings tracked</w:t>
            </w:r>
          </w:p>
        </w:tc>
        <w:tc>
          <w:tcPr>
            <w:tcW w:type="dxa" w:w="3408"/>
          </w:tcPr>
          <w:p>
            <w:r>
              <w:t>260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Areas monitored</w:t>
            </w:r>
          </w:p>
        </w:tc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Sources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New listings</w:t>
            </w:r>
          </w:p>
        </w:tc>
        <w:tc>
          <w:tcPr>
            <w:tcW w:type="dxa" w:w="3408"/>
          </w:tcPr>
          <w:p>
            <w:r>
              <w:t>74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reductions</w:t>
            </w:r>
          </w:p>
        </w:tc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increases</w:t>
            </w:r>
          </w:p>
        </w:tc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Median apartment sale</w:t>
            </w:r>
          </w:p>
        </w:tc>
        <w:tc>
          <w:tcPr>
            <w:tcW w:type="dxa" w:w="3408"/>
          </w:tcPr>
          <w:p>
            <w:r>
              <w:t>₦700,000,000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Median annual rent</w:t>
            </w:r>
          </w:p>
        </w:tc>
        <w:tc>
          <w:tcPr>
            <w:tcW w:type="dxa" w:w="3408"/>
          </w:tcPr>
          <w:p>
            <w:r>
              <w:t>₦20,000,000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Median land ₦/sqm</w:t>
            </w:r>
          </w:p>
        </w:tc>
        <w:tc>
          <w:tcPr>
            <w:tcW w:type="dxa" w:w="3408"/>
          </w:tcPr>
          <w:p>
            <w:r>
              <w:t>₦1,879,965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</w:tbl>
    <w:p>
      <w:pPr>
        <w:pStyle w:val="Heading1"/>
      </w:pPr>
      <w:r>
        <w:t>2. What Happened This Week</w:t>
      </w:r>
    </w:p>
    <w:p>
      <w:r>
        <w:t>The deepest comparable coverage this week is in Old Ikoyi, Ikeja GRA, Banana Island.</w:t>
      </w:r>
    </w:p>
    <w:p>
      <w:r>
        <w:t>Thin coverage in Wuse, Eko Atlantic, Asokoro means those areas should be treated as watchlist signals rather than firm pricing conclusions.</w:t>
      </w:r>
    </w:p>
    <w:p>
      <w:r>
        <w:t>Eko Atlantic currently shows the strongest rental pricing/yield proxy among areas with usable observations.</w:t>
      </w:r>
    </w:p>
    <w:p>
      <w:r>
        <w:t>Wuse currently screens as the lowest observed apartment sale ₦/sqm among areas with usable data.</w:t>
      </w:r>
    </w:p>
    <w:p>
      <w:r>
        <w:t>Eko Atlantic currently screens strongest on the rental-yield proxy, subject to the available comparable sample.</w:t>
      </w:r>
    </w:p>
    <w:p>
      <w:pPr>
        <w:pStyle w:val="Heading1"/>
      </w:pPr>
      <w:r>
        <w:t>3. Where the Opportunity Is</w:t>
      </w:r>
    </w:p>
    <w:p>
      <w:pPr>
        <w:pStyle w:val="ListBullet"/>
      </w:pPr>
      <w:r>
        <w:t>Most expensive: Old Ikoyi</w:t>
      </w:r>
    </w:p>
    <w:p>
      <w:pPr>
        <w:pStyle w:val="ListBullet"/>
      </w:pPr>
      <w:r>
        <w:t>Strongest rental pricing / yield proxy: Eko Atlantic</w:t>
      </w:r>
    </w:p>
    <w:p>
      <w:pPr>
        <w:pStyle w:val="ListBullet"/>
      </w:pPr>
      <w:r>
        <w:t>Best relative value: Wuse</w:t>
      </w:r>
    </w:p>
    <w:p>
      <w:pPr>
        <w:pStyle w:val="ListBullet"/>
      </w:pPr>
      <w:r>
        <w:t>Lowest observed land ₦/sqm: Asokoro</w:t>
      </w:r>
    </w:p>
    <w:p>
      <w:r>
        <w:t>Watch closely: Wuse, Eko Atlantic, Asokoro</w:t>
      </w:r>
    </w:p>
    <w:p>
      <w:pPr>
        <w:pStyle w:val="Heading1"/>
      </w:pPr>
      <w:r>
        <w:t>4. Sales, Rentals &amp; Land</w:t>
      </w:r>
    </w:p>
    <w:p>
      <w:r>
        <w:t>Banana Island: 38 comparables; 3BR sale ₦720,000,000; 3BR rent ₦35,000,000; sale ₦/sqm ₦120,000; land ₦/sqm ₦7,140,000,000.</w:t>
      </w:r>
    </w:p>
    <w:p>
      <w:r>
        <w:t>Old Ikoyi: 47 comparables; 3BR sale ₦1,000,000,000; 3BR rent ₦35,000,000; sale ₦/sqm ₦1,502,146; land ₦/sqm ₦4,400,000.</w:t>
      </w:r>
    </w:p>
    <w:p>
      <w:r>
        <w:t>Lekki Phase 1: 38 comparables; 3BR sale ₦550,000,000; 3BR rent ₦20,000,000; sale ₦/sqm N/A; land ₦/sqm ₦1,971,326.</w:t>
      </w:r>
    </w:p>
    <w:p>
      <w:r>
        <w:t>Victoria Island: 22 comparables; 3BR sale ₦700,000,000; 3BR rent ₦22,500,000; sale ₦/sqm N/A; land ₦/sqm ₦2,671,739.</w:t>
      </w:r>
    </w:p>
    <w:p>
      <w:r>
        <w:t>Eko Atlantic: 17 comparables; 3BR sale ₦600,000,000; 3BR rent ₦48,500,000; sale ₦/sqm N/A; land ₦/sqm N/A.</w:t>
      </w:r>
    </w:p>
    <w:p>
      <w:r>
        <w:t>Ikeja GRA: 39 comparables; 3BR sale ₦420,000,000; 3BR rent ₦27,500,000; sale ₦/sqm N/A; land ₦/sqm ₦1,300,000.</w:t>
      </w:r>
    </w:p>
    <w:p>
      <w:r>
        <w:t>Asokoro: 21 comparables; 3BR sale ₦205,000,000; 3BR rent ₦9,000,000; sale ₦/sqm N/A; land ₦/sqm ₦792,857.</w:t>
      </w:r>
    </w:p>
    <w:p>
      <w:r>
        <w:t>Maitama: 34 comparables; 3BR sale ₦525,000,000; 3BR rent ₦25,000,000; sale ₦/sqm N/A; land ₦/sqm ₦1,818,182.</w:t>
      </w:r>
    </w:p>
    <w:p>
      <w:r>
        <w:t>Wuse: 4 comparables; 3BR sale ₦135,000,000; 3BR rent ₦6,500,000; sale ₦/sqm ₦112,500; land ₦/sqm N/A.</w:t>
      </w:r>
    </w:p>
    <w:p>
      <w:pPr>
        <w:pStyle w:val="Heading1"/>
      </w:pPr>
      <w:r>
        <w:t>5. Six-Month Trend View</w:t>
      </w:r>
    </w:p>
    <w:p>
      <w:r>
        <w:t>Trend baseline is being established; future weekly runs will extend the six-month archive.</w:t>
      </w:r>
    </w:p>
    <w:p>
      <w:pPr>
        <w:pStyle w:val="Heading1"/>
      </w:pPr>
      <w:r>
        <w:t>6. Recommended Actions</w:t>
      </w:r>
    </w:p>
    <w:p>
      <w:r>
        <w:t>Use relative pricing and weekly movement to prioritise negotiations and areas for deeper diligence. Do not treat a thinly sampled area as a definitive market index.</w:t>
      </w:r>
    </w:p>
    <w:p>
      <w:r>
        <w:t>All prices are asking prices. Estate Intel data is limited to public research; no premium or authentication controls are bypassed.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