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966B8">
      <w:pPr>
        <w:pStyle w:val="2"/>
        <w:bidi w:val="0"/>
        <w:jc w:val="center"/>
      </w:pPr>
      <w:r>
        <w:rPr>
          <w:rFonts w:hint="eastAsia"/>
        </w:rPr>
        <w:t>RAG数据分析与设计说明</w:t>
      </w:r>
    </w:p>
    <w:p w14:paraId="7F168BA3"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数据集概述</w:t>
      </w:r>
    </w:p>
    <w:p w14:paraId="17C27274">
      <w:pPr>
        <w:numPr>
          <w:ilvl w:val="1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数据来源</w:t>
      </w:r>
    </w:p>
    <w:p w14:paraId="0F51A1B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采用 </w:t>
      </w:r>
      <w:r>
        <w:rPr>
          <w:rFonts w:hint="default" w:ascii="Times New Roman" w:hAnsi="Times New Roman" w:eastAsia="宋体" w:cs="Times New Roman"/>
          <w:sz w:val="21"/>
          <w:szCs w:val="21"/>
        </w:rPr>
        <w:t>PubMed Central（PMC）Open Access（OA）</w:t>
      </w:r>
      <w:r>
        <w:rPr>
          <w:rFonts w:hint="eastAsia" w:ascii="宋体" w:hAnsi="宋体" w:eastAsia="宋体" w:cs="宋体"/>
          <w:sz w:val="21"/>
          <w:szCs w:val="21"/>
        </w:rPr>
        <w:t>医学文献数据库作为知识库数据来源，数据来自</w:t>
      </w:r>
      <w:r>
        <w:rPr>
          <w:rFonts w:hint="default" w:ascii="Times New Roman" w:hAnsi="Times New Roman" w:eastAsia="宋体" w:cs="Times New Roman"/>
          <w:sz w:val="21"/>
          <w:szCs w:val="21"/>
        </w:rPr>
        <w:t>PMC OA XML</w:t>
      </w:r>
      <w:r>
        <w:rPr>
          <w:rFonts w:hint="eastAsia" w:ascii="宋体" w:hAnsi="宋体" w:eastAsia="宋体" w:cs="宋体"/>
          <w:sz w:val="21"/>
          <w:szCs w:val="21"/>
        </w:rPr>
        <w:t>数据集。为降低计算开销并保证统计结果具有代表性，从约</w:t>
      </w:r>
      <w:r>
        <w:rPr>
          <w:rFonts w:hint="default" w:ascii="Times New Roman" w:hAnsi="Times New Roman" w:eastAsia="宋体" w:cs="Times New Roman"/>
          <w:sz w:val="21"/>
          <w:szCs w:val="21"/>
        </w:rPr>
        <w:t>300</w:t>
      </w:r>
      <w:r>
        <w:rPr>
          <w:rFonts w:hint="eastAsia" w:ascii="宋体" w:hAnsi="宋体" w:eastAsia="宋体" w:cs="宋体"/>
          <w:sz w:val="21"/>
          <w:szCs w:val="21"/>
        </w:rPr>
        <w:t>万篇开放获取医学文献中随机抽样</w:t>
      </w:r>
      <w:r>
        <w:rPr>
          <w:rFonts w:hint="default" w:ascii="Times New Roman" w:hAnsi="Times New Roman" w:eastAsia="宋体" w:cs="Times New Roman"/>
          <w:sz w:val="21"/>
          <w:szCs w:val="21"/>
        </w:rPr>
        <w:t>30,000</w:t>
      </w:r>
      <w:r>
        <w:rPr>
          <w:rFonts w:hint="eastAsia" w:ascii="宋体" w:hAnsi="宋体" w:eastAsia="宋体" w:cs="宋体"/>
          <w:sz w:val="21"/>
          <w:szCs w:val="21"/>
        </w:rPr>
        <w:t>篇进行数据分析。所有文献均采用</w:t>
      </w:r>
      <w:r>
        <w:rPr>
          <w:rFonts w:hint="default" w:ascii="Times New Roman" w:hAnsi="Times New Roman" w:eastAsia="宋体" w:cs="Times New Roman"/>
          <w:sz w:val="21"/>
          <w:szCs w:val="21"/>
        </w:rPr>
        <w:t>XML</w:t>
      </w:r>
      <w:r>
        <w:rPr>
          <w:rFonts w:hint="eastAsia" w:ascii="宋体" w:hAnsi="宋体" w:eastAsia="宋体" w:cs="宋体"/>
          <w:sz w:val="21"/>
          <w:szCs w:val="21"/>
        </w:rPr>
        <w:t>格式存储，并解析得到后续</w:t>
      </w:r>
      <w:r>
        <w:rPr>
          <w:rFonts w:hint="default" w:ascii="Times New Roman" w:hAnsi="Times New Roman" w:eastAsia="宋体" w:cs="Times New Roman"/>
          <w:sz w:val="21"/>
          <w:szCs w:val="21"/>
        </w:rPr>
        <w:t>RAG</w:t>
      </w:r>
      <w:r>
        <w:rPr>
          <w:rFonts w:hint="eastAsia" w:ascii="宋体" w:hAnsi="宋体" w:eastAsia="宋体" w:cs="宋体"/>
          <w:sz w:val="21"/>
          <w:szCs w:val="21"/>
        </w:rPr>
        <w:t>系统所需的元数据及文本内容。</w:t>
      </w:r>
    </w:p>
    <w:p w14:paraId="54A1604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</w:p>
    <w:p w14:paraId="7AF2F0BA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数据集规模</w:t>
      </w:r>
      <w:bookmarkStart w:id="0" w:name="_GoBack"/>
      <w:bookmarkEnd w:id="0"/>
    </w:p>
    <w:tbl>
      <w:tblPr>
        <w:tblStyle w:val="3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5"/>
        <w:gridCol w:w="1550"/>
      </w:tblGrid>
      <w:tr w14:paraId="56748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5F87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来源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DD98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PMC OA XML</w:t>
            </w:r>
          </w:p>
        </w:tc>
      </w:tr>
      <w:tr w14:paraId="4505B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6370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原始样本数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1BF3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32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43977</w:t>
            </w:r>
          </w:p>
        </w:tc>
      </w:tr>
      <w:tr w14:paraId="5DFCA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605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抽样后样本数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42A33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30,000</w:t>
            </w:r>
          </w:p>
        </w:tc>
      </w:tr>
      <w:tr w14:paraId="2AF62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0176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清洗后样本数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D3896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27,077</w:t>
            </w:r>
          </w:p>
        </w:tc>
      </w:tr>
      <w:tr w14:paraId="21F8F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D43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格式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13E4A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XML</w:t>
            </w:r>
          </w:p>
        </w:tc>
      </w:tr>
    </w:tbl>
    <w:p w14:paraId="6408AED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7C2F2ABB"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数据结构分析</w:t>
      </w:r>
    </w:p>
    <w:p w14:paraId="562D58B1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数据字段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801"/>
        <w:gridCol w:w="1373"/>
      </w:tblGrid>
      <w:tr w14:paraId="1FDD7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3" w:hRule="atLeast"/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F9FA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字段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EAA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FC74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描述</w:t>
            </w:r>
          </w:p>
        </w:tc>
      </w:tr>
      <w:tr w14:paraId="2AC61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81D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title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1E99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434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文献标题</w:t>
            </w:r>
          </w:p>
        </w:tc>
      </w:tr>
      <w:tr w14:paraId="43671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084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abstract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E56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F8C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文献摘要</w:t>
            </w:r>
          </w:p>
        </w:tc>
      </w:tr>
      <w:tr w14:paraId="6BD79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39F9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journal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DD5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AAB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发表期刊</w:t>
            </w:r>
          </w:p>
        </w:tc>
      </w:tr>
      <w:tr w14:paraId="2B1E1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49D7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pub_date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FCB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Date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45C9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发表日期</w:t>
            </w:r>
          </w:p>
        </w:tc>
      </w:tr>
      <w:tr w14:paraId="7CB53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3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01B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pmid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9B45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BD40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PubMed ID</w:t>
            </w:r>
          </w:p>
        </w:tc>
      </w:tr>
    </w:tbl>
    <w:p w14:paraId="2A6EDD99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C270637">
      <w:pPr>
        <w:numPr>
          <w:ilvl w:val="0"/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解析后的数据主要包含标题、摘要、期刊名称、发表日期及 </w:t>
      </w:r>
      <w:r>
        <w:rPr>
          <w:rFonts w:hint="default" w:ascii="Times New Roman" w:hAnsi="Times New Roman" w:eastAsia="宋体" w:cs="Times New Roman"/>
          <w:sz w:val="21"/>
          <w:szCs w:val="21"/>
        </w:rPr>
        <w:t>PMID</w:t>
      </w:r>
      <w:r>
        <w:rPr>
          <w:rFonts w:ascii="宋体" w:hAnsi="宋体" w:eastAsia="宋体" w:cs="宋体"/>
          <w:sz w:val="21"/>
          <w:szCs w:val="21"/>
        </w:rPr>
        <w:t xml:space="preserve"> 等核心元数据，可满足后续文献检索及元数据过滤需求。</w:t>
      </w:r>
    </w:p>
    <w:p w14:paraId="1788F24F">
      <w:pPr>
        <w:numPr>
          <w:ilvl w:val="0"/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</w:p>
    <w:p w14:paraId="75C7F0A1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字段完整性分析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536"/>
        <w:gridCol w:w="2169"/>
      </w:tblGrid>
      <w:tr w14:paraId="401AF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70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348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D9F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缺失率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21A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清洗策略</w:t>
            </w:r>
          </w:p>
        </w:tc>
      </w:tr>
      <w:tr w14:paraId="54516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A46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title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B51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0%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FB007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保留</w:t>
            </w:r>
          </w:p>
        </w:tc>
      </w:tr>
      <w:tr w14:paraId="0ED39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0C4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abstract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CD55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9.74%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BDFAA8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删除缺失摘要</w:t>
            </w:r>
          </w:p>
        </w:tc>
      </w:tr>
      <w:tr w14:paraId="17AD5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582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journal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F38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0%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E8A2C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保留</w:t>
            </w:r>
          </w:p>
        </w:tc>
      </w:tr>
      <w:tr w14:paraId="6A630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6A70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pub_date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3793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0%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83A004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保留</w:t>
            </w:r>
          </w:p>
        </w:tc>
      </w:tr>
      <w:tr w14:paraId="782E2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DCCB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pmid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0B3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15.99%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707C31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保留，仅用于来源追溯</w:t>
            </w:r>
          </w:p>
        </w:tc>
      </w:tr>
    </w:tbl>
    <w:p w14:paraId="24B379EA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44D6A6C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Abstract</w:t>
      </w:r>
      <w:r>
        <w:rPr>
          <w:rFonts w:hint="eastAsia" w:ascii="宋体" w:hAnsi="宋体" w:eastAsia="宋体" w:cs="宋体"/>
          <w:sz w:val="21"/>
          <w:szCs w:val="21"/>
        </w:rPr>
        <w:t xml:space="preserve"> 缺失率为 </w:t>
      </w:r>
      <w:r>
        <w:rPr>
          <w:rFonts w:hint="default" w:ascii="Times New Roman" w:hAnsi="Times New Roman" w:eastAsia="宋体" w:cs="Times New Roman"/>
          <w:sz w:val="21"/>
          <w:szCs w:val="21"/>
        </w:rPr>
        <w:t>9.74%</w:t>
      </w:r>
      <w:r>
        <w:rPr>
          <w:rFonts w:hint="eastAsia" w:ascii="宋体" w:hAnsi="宋体" w:eastAsia="宋体" w:cs="宋体"/>
          <w:sz w:val="21"/>
          <w:szCs w:val="21"/>
        </w:rPr>
        <w:t>，高于预设阈值（</w:t>
      </w:r>
      <w:r>
        <w:rPr>
          <w:rFonts w:hint="default" w:ascii="Times New Roman" w:hAnsi="Times New Roman" w:eastAsia="宋体" w:cs="Times New Roman"/>
          <w:sz w:val="21"/>
          <w:szCs w:val="21"/>
        </w:rPr>
        <w:t>1%</w:t>
      </w:r>
      <w:r>
        <w:rPr>
          <w:rFonts w:hint="eastAsia" w:ascii="宋体" w:hAnsi="宋体" w:eastAsia="宋体" w:cs="宋体"/>
          <w:sz w:val="21"/>
          <w:szCs w:val="21"/>
        </w:rPr>
        <w:t>），因此删除缺失摘要文献。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PMID</w:t>
      </w:r>
      <w:r>
        <w:rPr>
          <w:rFonts w:hint="eastAsia" w:ascii="宋体" w:hAnsi="宋体" w:eastAsia="宋体" w:cs="宋体"/>
          <w:sz w:val="21"/>
          <w:szCs w:val="21"/>
        </w:rPr>
        <w:t xml:space="preserve"> 虽存在约 16% 缺失，但这是 </w:t>
      </w:r>
      <w:r>
        <w:rPr>
          <w:rFonts w:hint="default" w:ascii="Times New Roman" w:hAnsi="Times New Roman" w:eastAsia="宋体" w:cs="Times New Roman"/>
          <w:sz w:val="21"/>
          <w:szCs w:val="21"/>
        </w:rPr>
        <w:t>PMC</w:t>
      </w:r>
      <w:r>
        <w:rPr>
          <w:rFonts w:hint="eastAsia" w:ascii="宋体" w:hAnsi="宋体" w:eastAsia="宋体" w:cs="宋体"/>
          <w:sz w:val="21"/>
          <w:szCs w:val="21"/>
        </w:rPr>
        <w:t xml:space="preserve"> 数据集的正常现象，因此保留该字段作为可选的来源追溯信息。</w:t>
      </w:r>
    </w:p>
    <w:p w14:paraId="7870335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</w:p>
    <w:p w14:paraId="72BB0C27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编码质量分析</w:t>
      </w:r>
    </w:p>
    <w:p w14:paraId="5F004D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67275" cy="171323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ABE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对摘要文本进行了编码质量检查，重点检测 </w:t>
      </w:r>
      <w:r>
        <w:rPr>
          <w:rFonts w:hint="default" w:ascii="Times New Roman" w:hAnsi="Times New Roman" w:cs="Times New Roman"/>
        </w:rPr>
        <w:t>Replacement Character</w:t>
      </w:r>
      <w:r>
        <w:rPr>
          <w:rFonts w:hint="eastAsia"/>
        </w:rPr>
        <w:t>（�）、</w:t>
      </w:r>
      <w:r>
        <w:rPr>
          <w:rFonts w:hint="default" w:ascii="Times New Roman" w:hAnsi="Times New Roman" w:cs="Times New Roman"/>
        </w:rPr>
        <w:t>UTF-8 Mojibake</w:t>
      </w:r>
      <w:r>
        <w:rPr>
          <w:rFonts w:hint="eastAsia"/>
        </w:rPr>
        <w:t>（如 â€™、Ã）以及控制字符。抽样数据未发现大规模编码异常，因此无需进行额外字符修复，仅保留常规空白字符标准化处理。</w:t>
      </w:r>
    </w:p>
    <w:p w14:paraId="10C9324D">
      <w:pPr>
        <w:numPr>
          <w:ilvl w:val="0"/>
          <w:numId w:val="0"/>
        </w:numPr>
        <w:ind w:leftChars="0"/>
        <w:rPr>
          <w:rFonts w:hint="eastAsia"/>
        </w:rPr>
      </w:pPr>
    </w:p>
    <w:p w14:paraId="1D1DF9AB">
      <w:pPr>
        <w:numPr>
          <w:ilvl w:val="1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关键字段分析</w:t>
      </w:r>
    </w:p>
    <w:p w14:paraId="0E3BD02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Title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长度统计信息如下图所示，</w:t>
      </w:r>
    </w:p>
    <w:p w14:paraId="750DDB1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88460" cy="23850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323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标题的平均字符数为</w:t>
      </w:r>
      <w:r>
        <w:rPr>
          <w:rFonts w:hint="default" w:ascii="Times New Roman" w:hAnsi="Times New Roman" w:cs="Times New Roman"/>
          <w:lang w:val="en-US" w:eastAsia="zh-CN"/>
        </w:rPr>
        <w:t>109</w:t>
      </w:r>
      <w:r>
        <w:rPr>
          <w:rFonts w:hint="eastAsia"/>
          <w:lang w:val="en-US" w:eastAsia="zh-CN"/>
        </w:rPr>
        <w:t>，最小的包含</w:t>
      </w: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eastAsia"/>
          <w:lang w:val="en-US" w:eastAsia="zh-CN"/>
        </w:rPr>
        <w:t>个字符，最多的包含</w:t>
      </w:r>
      <w:r>
        <w:rPr>
          <w:rFonts w:hint="default" w:ascii="Times New Roman" w:hAnsi="Times New Roman" w:cs="Times New Roman"/>
          <w:lang w:val="en-US" w:eastAsia="zh-CN"/>
        </w:rPr>
        <w:t>627</w:t>
      </w:r>
      <w:r>
        <w:rPr>
          <w:rFonts w:hint="eastAsia"/>
          <w:lang w:val="en-US" w:eastAsia="zh-CN"/>
        </w:rPr>
        <w:t>个字符。</w:t>
      </w:r>
    </w:p>
    <w:p w14:paraId="10097B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16243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D441F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32487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9259E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9F701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6341A32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/>
          <w:lang w:val="en-US" w:eastAsia="zh-CN"/>
        </w:rPr>
        <w:t>数量排名前</w:t>
      </w:r>
      <w:r>
        <w:rPr>
          <w:rFonts w:hint="default" w:ascii="Times New Roman" w:hAnsi="Times New Roman" w:cs="Times New Roman"/>
          <w:lang w:val="en-US" w:eastAsia="zh-CN"/>
        </w:rPr>
        <w:t>20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Journal</w:t>
      </w:r>
      <w:r>
        <w:rPr>
          <w:rFonts w:hint="eastAsia" w:ascii="Times New Roman" w:hAnsi="Times New Roman" w:cs="Times New Roman"/>
          <w:lang w:val="en-US" w:eastAsia="zh-CN"/>
        </w:rPr>
        <w:t>的分布信息以及</w:t>
      </w:r>
      <w:r>
        <w:rPr>
          <w:rFonts w:hint="default" w:ascii="Times New Roman" w:hAnsi="Times New Roman" w:cs="Times New Roman"/>
          <w:lang w:val="en-US" w:eastAsia="zh-CN"/>
        </w:rPr>
        <w:t>Pub_date</w:t>
      </w:r>
      <w:r>
        <w:rPr>
          <w:rFonts w:hint="eastAsia" w:ascii="Times New Roman" w:hAnsi="Times New Roman" w:cs="Times New Roman"/>
          <w:lang w:val="en-US" w:eastAsia="zh-CN"/>
        </w:rPr>
        <w:t>的统计信息如下图所示，</w:t>
      </w:r>
    </w:p>
    <w:p w14:paraId="78AED08E">
      <w:pPr>
        <w:numPr>
          <w:ilvl w:val="0"/>
          <w:numId w:val="0"/>
        </w:numPr>
        <w:ind w:leftChars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29845</wp:posOffset>
            </wp:positionV>
            <wp:extent cx="2880995" cy="1926590"/>
            <wp:effectExtent l="0" t="0" r="1905" b="381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3FF9D5">
      <w:pPr>
        <w:numPr>
          <w:ilvl w:val="0"/>
          <w:numId w:val="0"/>
        </w:numPr>
        <w:ind w:leftChars="0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194945</wp:posOffset>
            </wp:positionV>
            <wp:extent cx="2675255" cy="1296670"/>
            <wp:effectExtent l="0" t="0" r="4445" b="1143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F047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B3F695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根据</w:t>
      </w:r>
      <w:r>
        <w:rPr>
          <w:rFonts w:hint="default" w:ascii="Times New Roman" w:hAnsi="Times New Roman" w:cs="Times New Roman"/>
          <w:lang w:val="en-US" w:eastAsia="zh-CN"/>
        </w:rPr>
        <w:t>Journal</w:t>
      </w:r>
      <w:r>
        <w:rPr>
          <w:rFonts w:hint="eastAsia"/>
          <w:lang w:val="en-US" w:eastAsia="zh-CN"/>
        </w:rPr>
        <w:t>的分布情况来看，不同</w:t>
      </w:r>
      <w:r>
        <w:rPr>
          <w:rFonts w:hint="default" w:ascii="Times New Roman" w:hAnsi="Times New Roman" w:cs="Times New Roman"/>
          <w:lang w:val="en-US" w:eastAsia="zh-CN"/>
        </w:rPr>
        <w:t>Journa</w:t>
      </w:r>
      <w:r>
        <w:rPr>
          <w:rFonts w:hint="eastAsia"/>
          <w:lang w:val="en-US" w:eastAsia="zh-CN"/>
        </w:rPr>
        <w:t xml:space="preserve">之间区分度明显，一个 </w:t>
      </w:r>
      <w:r>
        <w:rPr>
          <w:rFonts w:hint="default" w:ascii="Times New Roman" w:hAnsi="Times New Roman" w:cs="Times New Roman"/>
          <w:lang w:val="en-US" w:eastAsia="zh-CN"/>
        </w:rPr>
        <w:t>Journal</w:t>
      </w:r>
      <w:r>
        <w:rPr>
          <w:rFonts w:hint="eastAsia"/>
          <w:lang w:val="en-US" w:eastAsia="zh-CN"/>
        </w:rPr>
        <w:t xml:space="preserve">对应一类研究来源，每篇文章只有一个 </w:t>
      </w:r>
      <w:r>
        <w:rPr>
          <w:rFonts w:hint="default" w:ascii="Times New Roman" w:hAnsi="Times New Roman" w:cs="Times New Roman"/>
          <w:lang w:val="en-US" w:eastAsia="zh-CN"/>
        </w:rPr>
        <w:t>Journal</w:t>
      </w:r>
      <w:r>
        <w:rPr>
          <w:rFonts w:hint="eastAsia" w:ascii="Times New Roman" w:hAnsi="Times New Roman" w:cs="Times New Roman"/>
          <w:lang w:val="en-US" w:eastAsia="zh-CN"/>
        </w:rPr>
        <w:t>，而且字段缺失率为0，非常适合作为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元数据过滤器来检索Nature上刊登的文献。</w:t>
      </w:r>
    </w:p>
    <w:p w14:paraId="349A29F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</w:p>
    <w:p w14:paraId="00952BD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Pub_date同样字段完整，数据年份覆盖从1951-2026的文献，可以作为元数据过滤器来检索近5年的文献。</w:t>
      </w:r>
    </w:p>
    <w:p w14:paraId="2B8A144C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</w:p>
    <w:p w14:paraId="78B52E7D">
      <w:pPr>
        <w:numPr>
          <w:ilvl w:val="0"/>
          <w:numId w:val="0"/>
        </w:numPr>
        <w:ind w:leftChars="0"/>
        <w:rPr>
          <w:rStyle w:val="5"/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PMID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作为</w:t>
      </w:r>
      <w:r>
        <w:rPr>
          <w:rFonts w:hint="default" w:ascii="Times New Roman" w:hAnsi="Times New Roman" w:eastAsia="宋体" w:cs="Times New Roman"/>
          <w:sz w:val="21"/>
          <w:szCs w:val="21"/>
        </w:rPr>
        <w:t>PubMed</w:t>
      </w:r>
      <w:r>
        <w:rPr>
          <w:rFonts w:ascii="宋体" w:hAnsi="宋体" w:eastAsia="宋体" w:cs="宋体"/>
          <w:sz w:val="21"/>
          <w:szCs w:val="21"/>
        </w:rPr>
        <w:t>数据库为每篇收录文献分配的</w:t>
      </w:r>
      <w:r>
        <w:rPr>
          <w:rStyle w:val="5"/>
          <w:rFonts w:ascii="宋体" w:hAnsi="宋体" w:eastAsia="宋体" w:cs="宋体"/>
          <w:b w:val="0"/>
          <w:bCs/>
          <w:sz w:val="21"/>
          <w:szCs w:val="21"/>
        </w:rPr>
        <w:t>唯一标识符</w:t>
      </w:r>
      <w:r>
        <w:rPr>
          <w:rStyle w:val="5"/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，每一个 </w:t>
      </w: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  <w:lang w:eastAsia="zh-CN"/>
        </w:rPr>
        <w:t>PMID</w:t>
      </w:r>
      <w:r>
        <w:rPr>
          <w:rStyle w:val="5"/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对应一篇唯一的 </w:t>
      </w: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  <w:lang w:eastAsia="zh-CN"/>
        </w:rPr>
        <w:t>PubMed</w:t>
      </w:r>
      <w:r>
        <w:rPr>
          <w:rStyle w:val="5"/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文献记录，</w:t>
      </w:r>
      <w:r>
        <w:rPr>
          <w:rStyle w:val="5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因此可以作为原文追溯链接。但是其字段缺失率高达</w:t>
      </w: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16%</w:t>
      </w:r>
      <w:r>
        <w:rPr>
          <w:rStyle w:val="5"/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，说明不是所有 PMC文献都会被 PubMed收录，所以其并不能作为唯一的追溯方式。</w:t>
      </w:r>
    </w:p>
    <w:p w14:paraId="09099BEF">
      <w:pPr>
        <w:numPr>
          <w:ilvl w:val="0"/>
          <w:numId w:val="0"/>
        </w:numPr>
        <w:ind w:leftChars="0"/>
        <w:rPr>
          <w:rStyle w:val="5"/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</w:p>
    <w:p w14:paraId="241F1C11"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医学领域文本分析</w:t>
      </w:r>
    </w:p>
    <w:p w14:paraId="73B2FB36">
      <w:pPr>
        <w:numPr>
          <w:ilvl w:val="1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IMRaD</w:t>
      </w:r>
      <w:r>
        <w:rPr>
          <w:rFonts w:hint="eastAsia" w:ascii="宋体" w:hAnsi="宋体" w:eastAsia="宋体" w:cs="宋体"/>
          <w:sz w:val="24"/>
          <w:szCs w:val="24"/>
        </w:rPr>
        <w:t>结构分析</w:t>
      </w:r>
    </w:p>
    <w:p w14:paraId="23DF5EE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00375" cy="14859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E3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医学摘要存在一定程度的 </w:t>
      </w:r>
      <w:r>
        <w:rPr>
          <w:rFonts w:hint="default" w:ascii="Times New Roman" w:hAnsi="Times New Roman" w:cs="Times New Roman"/>
          <w:lang w:val="en-US" w:eastAsia="zh-CN"/>
        </w:rPr>
        <w:t>IMRaD</w:t>
      </w:r>
      <w:r>
        <w:rPr>
          <w:rFonts w:hint="default"/>
          <w:lang w:val="en-US" w:eastAsia="zh-CN"/>
        </w:rPr>
        <w:t>结构，但显式章节标签覆盖率有限，仅约三分之一至一半摘要包含标准章节标题，因此不适合作为统一的文本切分依据。</w:t>
      </w:r>
    </w:p>
    <w:p w14:paraId="5437AF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64A7E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E9860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EA72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649C8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4092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3C38A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A4B50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42CF8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4F81BD6">
      <w:pPr>
        <w:numPr>
          <w:ilvl w:val="1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医学术语</w:t>
      </w:r>
      <w:r>
        <w:rPr>
          <w:rFonts w:hint="eastAsia" w:ascii="宋体" w:hAnsi="宋体" w:eastAsia="宋体" w:cs="宋体"/>
          <w:sz w:val="24"/>
          <w:szCs w:val="24"/>
        </w:rPr>
        <w:t>分析</w:t>
      </w:r>
    </w:p>
    <w:p w14:paraId="3A6843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在随机抽样的30,000篇文献摘要中，医学术语缩写的词频统计信息以及同义表述的统计信息如下，</w:t>
      </w:r>
    </w:p>
    <w:p w14:paraId="73AD0439">
      <w:pPr>
        <w:numPr>
          <w:ilvl w:val="0"/>
          <w:numId w:val="0"/>
        </w:numPr>
        <w:ind w:leftChars="0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68580</wp:posOffset>
            </wp:positionV>
            <wp:extent cx="1450975" cy="3167380"/>
            <wp:effectExtent l="0" t="0" r="9525" b="762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1452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600710</wp:posOffset>
            </wp:positionH>
            <wp:positionV relativeFrom="paragraph">
              <wp:posOffset>48260</wp:posOffset>
            </wp:positionV>
            <wp:extent cx="3270250" cy="2866390"/>
            <wp:effectExtent l="0" t="0" r="6350" b="381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6439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04624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4A5D9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EDB10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E14C6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4CA658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1E5C5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2EB5D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9E2E6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BE5F05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F37FB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A3F7BF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C3943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557B9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170C1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B1479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由此可见医学摘要中大量使用专业缩写（如</w:t>
      </w:r>
      <w:r>
        <w:rPr>
          <w:rFonts w:hint="default" w:ascii="Times New Roman" w:hAnsi="Times New Roman" w:cs="Times New Roman"/>
          <w:lang w:val="en-US" w:eastAsia="zh-CN"/>
        </w:rPr>
        <w:t>EGFR、PCI、COPD、ARDS</w:t>
      </w:r>
      <w:r>
        <w:rPr>
          <w:rFonts w:hint="eastAsia"/>
          <w:lang w:val="en-US" w:eastAsia="zh-CN"/>
        </w:rPr>
        <w:t>等）及标准医学术语。同一疾病通常采用专业命名（如</w:t>
      </w:r>
      <w:r>
        <w:rPr>
          <w:rFonts w:hint="default" w:ascii="Times New Roman" w:hAnsi="Times New Roman" w:cs="Times New Roman"/>
          <w:lang w:val="en-US" w:eastAsia="zh-CN"/>
        </w:rPr>
        <w:t>myocardial infarction</w:t>
      </w:r>
      <w:r>
        <w:rPr>
          <w:rFonts w:hint="eastAsia"/>
          <w:lang w:val="en-US" w:eastAsia="zh-CN"/>
        </w:rPr>
        <w:t>）而非日常表达（</w:t>
      </w:r>
      <w:r>
        <w:rPr>
          <w:rFonts w:hint="default" w:ascii="Times New Roman" w:hAnsi="Times New Roman" w:cs="Times New Roman"/>
          <w:lang w:val="en-US" w:eastAsia="zh-CN"/>
        </w:rPr>
        <w:t>heart attack</w:t>
      </w:r>
      <w:r>
        <w:rPr>
          <w:rFonts w:hint="eastAsia"/>
          <w:lang w:val="en-US" w:eastAsia="zh-CN"/>
        </w:rPr>
        <w:t>）。因此后续</w:t>
      </w:r>
      <w:r>
        <w:rPr>
          <w:rFonts w:hint="default" w:ascii="Times New Roman" w:hAnsi="Times New Roman" w:cs="Times New Roman"/>
          <w:lang w:val="en-US" w:eastAsia="zh-CN"/>
        </w:rPr>
        <w:t>Prompt Engineering</w:t>
      </w:r>
      <w:r>
        <w:rPr>
          <w:rFonts w:hint="eastAsia"/>
          <w:lang w:val="en-US" w:eastAsia="zh-CN"/>
        </w:rPr>
        <w:t>及</w:t>
      </w:r>
      <w:r>
        <w:rPr>
          <w:rFonts w:hint="default" w:ascii="Times New Roman" w:hAnsi="Times New Roman" w:cs="Times New Roman"/>
          <w:lang w:val="en-US" w:eastAsia="zh-CN"/>
        </w:rPr>
        <w:t>Embedding</w:t>
      </w:r>
      <w:r>
        <w:rPr>
          <w:rFonts w:hint="eastAsia"/>
          <w:lang w:val="en-US" w:eastAsia="zh-CN"/>
        </w:rPr>
        <w:t>检索均采用标准医学术语作为主要表达方式。</w:t>
      </w:r>
    </w:p>
    <w:p w14:paraId="32FDD68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EF4A99B">
      <w:pPr>
        <w:numPr>
          <w:ilvl w:val="1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高频词</w:t>
      </w:r>
      <w:r>
        <w:rPr>
          <w:rFonts w:hint="eastAsia" w:ascii="宋体" w:hAnsi="宋体" w:eastAsia="宋体" w:cs="宋体"/>
          <w:sz w:val="24"/>
          <w:szCs w:val="24"/>
        </w:rPr>
        <w:t>分析</w:t>
      </w:r>
    </w:p>
    <w:p w14:paraId="6EE58447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出现频率最高的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前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20个词的频率如下图所示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，</w:t>
      </w:r>
    </w:p>
    <w:p w14:paraId="0252E7E5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83835" cy="3288030"/>
            <wp:effectExtent l="0" t="0" r="12065" b="1270"/>
            <wp:docPr id="9" name="图片 9" descr="高频词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高频词分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87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高频词主要集中于</w:t>
      </w:r>
      <w:r>
        <w:rPr>
          <w:rFonts w:hint="default" w:ascii="Times New Roman" w:hAnsi="Times New Roman" w:cs="Times New Roman"/>
          <w:lang w:val="en-US" w:eastAsia="zh-CN"/>
        </w:rPr>
        <w:t>patients、cells、treatment、analysis、data、study</w:t>
      </w:r>
      <w:r>
        <w:rPr>
          <w:rFonts w:hint="default"/>
          <w:lang w:val="en-US" w:eastAsia="zh-CN"/>
        </w:rPr>
        <w:t>等医学研究相关术语，说明摘要整体具有较高的信息密度。</w:t>
      </w:r>
    </w:p>
    <w:p w14:paraId="42D571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A29736D"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文本长度分析</w:t>
      </w:r>
    </w:p>
    <w:p w14:paraId="448DCCB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摘要文本token数的统计信息如下表所示，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7"/>
        <w:gridCol w:w="1112"/>
      </w:tblGrid>
      <w:tr w14:paraId="1FBC2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32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E6F1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Metric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643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Value</w:t>
            </w:r>
          </w:p>
        </w:tc>
      </w:tr>
      <w:tr w14:paraId="64A12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BE9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Mean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C8F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332</w:t>
            </w:r>
          </w:p>
        </w:tc>
      </w:tr>
      <w:tr w14:paraId="11A6A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E949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Std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96C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139</w:t>
            </w:r>
          </w:p>
        </w:tc>
      </w:tr>
      <w:tr w14:paraId="6E551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B13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Min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F538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26C2A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88B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75%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E4D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410</w:t>
            </w:r>
          </w:p>
        </w:tc>
      </w:tr>
      <w:tr w14:paraId="30A6D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9" w:hRule="atLeast"/>
          <w:tblCellSpacing w:w="15" w:type="dxa"/>
        </w:trPr>
        <w:tc>
          <w:tcPr>
            <w:tcW w:w="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C89F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95%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BA3D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560</w:t>
            </w:r>
          </w:p>
        </w:tc>
      </w:tr>
      <w:tr w14:paraId="2CA0C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4A81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99%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EB99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708</w:t>
            </w:r>
          </w:p>
        </w:tc>
      </w:tr>
      <w:tr w14:paraId="65DFD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8B2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Max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F5D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3028</w:t>
            </w:r>
          </w:p>
        </w:tc>
      </w:tr>
    </w:tbl>
    <w:p w14:paraId="3ADB7050">
      <w:pPr>
        <w:numPr>
          <w:ilvl w:val="0"/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使用 </w:t>
      </w:r>
      <w:r>
        <w:rPr>
          <w:rFonts w:hint="default" w:ascii="Times New Roman" w:hAnsi="Times New Roman" w:eastAsia="宋体" w:cs="Times New Roman"/>
          <w:sz w:val="21"/>
          <w:szCs w:val="21"/>
        </w:rPr>
        <w:t>DeepSeek-R1-Distill-Qwen-7B</w:t>
      </w:r>
      <w:r>
        <w:rPr>
          <w:rFonts w:ascii="宋体" w:hAnsi="宋体" w:eastAsia="宋体" w:cs="宋体"/>
          <w:sz w:val="21"/>
          <w:szCs w:val="21"/>
        </w:rPr>
        <w:t>对应的</w:t>
      </w:r>
      <w:r>
        <w:rPr>
          <w:rFonts w:hint="default" w:ascii="Times New Roman" w:hAnsi="Times New Roman" w:eastAsia="宋体" w:cs="Times New Roman"/>
          <w:sz w:val="21"/>
          <w:szCs w:val="21"/>
        </w:rPr>
        <w:t>Qwen Tokenizer</w:t>
      </w:r>
      <w:r>
        <w:rPr>
          <w:rFonts w:ascii="宋体" w:hAnsi="宋体" w:eastAsia="宋体" w:cs="宋体"/>
          <w:sz w:val="21"/>
          <w:szCs w:val="21"/>
        </w:rPr>
        <w:t>对所有摘要进行</w:t>
      </w:r>
      <w:r>
        <w:rPr>
          <w:rFonts w:hint="default" w:ascii="Times New Roman" w:hAnsi="Times New Roman" w:eastAsia="宋体" w:cs="Times New Roman"/>
          <w:sz w:val="21"/>
          <w:szCs w:val="21"/>
        </w:rPr>
        <w:t>Token</w:t>
      </w:r>
      <w:r>
        <w:rPr>
          <w:rFonts w:ascii="宋体" w:hAnsi="宋体" w:eastAsia="宋体" w:cs="宋体"/>
          <w:sz w:val="21"/>
          <w:szCs w:val="21"/>
        </w:rPr>
        <w:t>统计。结果表明，</w:t>
      </w:r>
      <w:r>
        <w:rPr>
          <w:rFonts w:hint="default" w:ascii="Times New Roman" w:hAnsi="Times New Roman" w:eastAsia="宋体" w:cs="Times New Roman"/>
          <w:sz w:val="21"/>
          <w:szCs w:val="21"/>
        </w:rPr>
        <w:t>95%</w:t>
      </w:r>
      <w:r>
        <w:rPr>
          <w:rFonts w:ascii="宋体" w:hAnsi="宋体" w:eastAsia="宋体" w:cs="宋体"/>
          <w:sz w:val="21"/>
          <w:szCs w:val="21"/>
        </w:rPr>
        <w:t xml:space="preserve">分位数达到 </w:t>
      </w:r>
      <w:r>
        <w:rPr>
          <w:rFonts w:hint="default" w:ascii="Times New Roman" w:hAnsi="Times New Roman" w:eastAsia="宋体" w:cs="Times New Roman"/>
          <w:sz w:val="21"/>
          <w:szCs w:val="21"/>
        </w:rPr>
        <w:t>560 Tokens</w:t>
      </w:r>
      <w:r>
        <w:rPr>
          <w:rFonts w:ascii="宋体" w:hAnsi="宋体" w:eastAsia="宋体" w:cs="宋体"/>
          <w:sz w:val="21"/>
          <w:szCs w:val="21"/>
        </w:rPr>
        <w:t xml:space="preserve">，高于目标 </w:t>
      </w:r>
      <w:r>
        <w:rPr>
          <w:rFonts w:hint="default" w:ascii="Times New Roman" w:hAnsi="Times New Roman" w:eastAsia="宋体" w:cs="Times New Roman"/>
          <w:sz w:val="21"/>
          <w:szCs w:val="21"/>
        </w:rPr>
        <w:t>Embedding</w:t>
      </w:r>
      <w:r>
        <w:rPr>
          <w:rFonts w:ascii="宋体" w:hAnsi="宋体" w:eastAsia="宋体" w:cs="宋体"/>
          <w:sz w:val="21"/>
          <w:szCs w:val="21"/>
        </w:rPr>
        <w:t>模型（</w:t>
      </w:r>
      <w:r>
        <w:rPr>
          <w:rFonts w:hint="default" w:ascii="Times New Roman" w:hAnsi="Times New Roman" w:eastAsia="宋体" w:cs="Times New Roman"/>
          <w:sz w:val="21"/>
          <w:szCs w:val="21"/>
        </w:rPr>
        <w:t>512 Tokens</w:t>
      </w:r>
      <w:r>
        <w:rPr>
          <w:rFonts w:ascii="宋体" w:hAnsi="宋体" w:eastAsia="宋体" w:cs="宋体"/>
          <w:sz w:val="21"/>
          <w:szCs w:val="21"/>
        </w:rPr>
        <w:t>）的输入限制，说明部分摘要需要进行文本切分。</w:t>
      </w:r>
    </w:p>
    <w:p w14:paraId="5330AEA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855CE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文本长度的分布直方图如下，</w:t>
      </w:r>
    </w:p>
    <w:p w14:paraId="755F09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519805"/>
            <wp:effectExtent l="0" t="0" r="10795" b="10795"/>
            <wp:docPr id="10" name="图片 10" descr="文本长度直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文本长度直方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86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1E8A3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CC14D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14CBF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1B60E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82401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462A048"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文本分割策略设计</w:t>
      </w:r>
    </w:p>
    <w:p w14:paraId="20128482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根据 </w:t>
      </w:r>
      <w:r>
        <w:rPr>
          <w:rFonts w:hint="default" w:ascii="Times New Roman" w:hAnsi="Times New Roman" w:eastAsia="宋体" w:cs="Times New Roman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长度统计及</w:t>
      </w:r>
      <w:r>
        <w:rPr>
          <w:rFonts w:hint="default" w:ascii="Times New Roman" w:hAnsi="Times New Roman" w:eastAsia="宋体" w:cs="Times New Roman"/>
          <w:sz w:val="21"/>
          <w:szCs w:val="21"/>
        </w:rPr>
        <w:t>IMRaD</w:t>
      </w:r>
      <w:r>
        <w:rPr>
          <w:rFonts w:hint="eastAsia" w:ascii="宋体" w:hAnsi="宋体" w:eastAsia="宋体" w:cs="宋体"/>
          <w:sz w:val="21"/>
          <w:szCs w:val="21"/>
        </w:rPr>
        <w:t>分析结果，制定如下文本切分策略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4"/>
        <w:gridCol w:w="2187"/>
      </w:tblGrid>
      <w:tr w14:paraId="2B083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39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46B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情况</w:t>
            </w:r>
          </w:p>
        </w:tc>
        <w:tc>
          <w:tcPr>
            <w:tcW w:w="2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744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处理方式</w:t>
            </w:r>
          </w:p>
        </w:tc>
      </w:tr>
      <w:tr w14:paraId="170E9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951FD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≤512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Tokens</w:t>
            </w:r>
          </w:p>
        </w:tc>
        <w:tc>
          <w:tcPr>
            <w:tcW w:w="2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8592A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不切分</w:t>
            </w:r>
          </w:p>
        </w:tc>
      </w:tr>
      <w:tr w14:paraId="69507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DF607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&gt;512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Tokens</w:t>
            </w:r>
          </w:p>
        </w:tc>
        <w:tc>
          <w:tcPr>
            <w:tcW w:w="2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4EF2A0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滑动窗口</w:t>
            </w:r>
          </w:p>
        </w:tc>
      </w:tr>
      <w:tr w14:paraId="15D0D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5C0792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明确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IMRaD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结构</w:t>
            </w:r>
          </w:p>
        </w:tc>
        <w:tc>
          <w:tcPr>
            <w:tcW w:w="2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21631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可选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语义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章节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切分</w:t>
            </w:r>
          </w:p>
        </w:tc>
      </w:tr>
    </w:tbl>
    <w:p w14:paraId="2B598D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F1873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分割相关参数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2793"/>
      </w:tblGrid>
      <w:tr w14:paraId="18CD7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6CA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Parameter</w:t>
            </w:r>
          </w:p>
        </w:tc>
        <w:tc>
          <w:tcPr>
            <w:tcW w:w="2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2AE3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Value</w:t>
            </w:r>
          </w:p>
        </w:tc>
      </w:tr>
      <w:tr w14:paraId="60B10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8FD9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Chunk Size</w:t>
            </w:r>
          </w:p>
        </w:tc>
        <w:tc>
          <w:tcPr>
            <w:tcW w:w="2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5CE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512</w:t>
            </w:r>
          </w:p>
        </w:tc>
      </w:tr>
      <w:tr w14:paraId="406F9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DE9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Chunk Overlap</w:t>
            </w:r>
          </w:p>
        </w:tc>
        <w:tc>
          <w:tcPr>
            <w:tcW w:w="2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D7ED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80</w:t>
            </w:r>
          </w:p>
        </w:tc>
      </w:tr>
      <w:tr w14:paraId="16C2E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140B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Splitter</w:t>
            </w:r>
          </w:p>
        </w:tc>
        <w:tc>
          <w:tcPr>
            <w:tcW w:w="2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4B1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Token-based Sliding Window</w:t>
            </w:r>
          </w:p>
        </w:tc>
      </w:tr>
    </w:tbl>
    <w:p w14:paraId="0A9A99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89FCF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鉴于 95% 分位数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560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已超过 Embedding 模型输入上限，同时 IMRaD 显式章节覆盖率不足，因此采用 Token-Based Overlapping Sliding Window 作为默认切分策略。对于包含明确章节标题的摘要，可优先采用章节级切分，并对超长章节继续进行 Token 切分。</w:t>
      </w:r>
    </w:p>
    <w:p w14:paraId="4EA074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BC991A8"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其他补充说明</w:t>
      </w:r>
    </w:p>
    <w:p w14:paraId="7C062029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本次分析基于随机抽样的 30,000 篇 PMC OA文献，统计结果能够较好反映数据整体特征，但不同医学子领域（如 Oncology、Cardiology、Radiology）在术语密度、摘要长度及写作风格上仍可能存在一定差异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也有一定的数据局限性。</w:t>
      </w:r>
    </w:p>
    <w:p w14:paraId="75648D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4766D4"/>
    <w:multiLevelType w:val="multilevel"/>
    <w:tmpl w:val="B44766D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C77D9"/>
    <w:rsid w:val="57EB02E1"/>
    <w:rsid w:val="6D394EF9"/>
    <w:rsid w:val="7387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1438</Words>
  <Characters>2122</Characters>
  <Lines>0</Lines>
  <Paragraphs>0</Paragraphs>
  <TotalTime>124</TotalTime>
  <ScaleCrop>false</ScaleCrop>
  <LinksUpToDate>false</LinksUpToDate>
  <CharactersWithSpaces>2196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2026-06-28T21:07:00Z</dcterms:created>
  <dc:creator>xukeh</dc:creator>
  <cp:lastModifiedBy>King James</cp:lastModifiedBy>
  <dcterms:modified xsi:type="dcterms:W3CDTF">2026-06-29T23:00:02Z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eyJoZGlkIjoiNTc2Mjc5ZTQ2MDE5ZjA1NGVjNTUzMmIwNDkyYTQ0ODUiLCJ1c2VySWQiOiI2OTU4MTE5MDMifQ==</vt:lpwstr>
  </property>
  <property fmtid="{D5CDD505-2E9C-101B-9397-08002B2CF9AE}" pid="4" name="ICV">
    <vt:lpwstr>0C6E5119C8004BE8A52AEE77ACCAB4FC_12</vt:lpwstr>
  </property>
</Properties>
</file>